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rl-20260331.htm"/>
      <w:bookmarkStart w:id="1" w:name="kscarl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001-42756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CARLSMED,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83-1081863</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 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1800 Aston Ave,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(760) 766-1923</w:t>
      </w:r>
    </w:p>
    <w:p>
      <w:pPr>
        <w:pStyle w:val="TextBody"/>
        <w:pBdr>
          <w:bottom w:val="single" w:sz="4" w:space="1" w:color="000000"/>
        </w:pBdr>
        <w:bidi w:val="0"/>
        <w:spacing w:before="40" w:after="283"/>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1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1, 2026, the registrant had 27,184,933</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
        <w:gridCol w:w="8874"/>
        <w:gridCol w:w="512"/>
      </w:tblGrid>
      <w:tr>
        <w:trPr/>
        <w:tc>
          <w:tcPr>
            <w:tcW w:w="819" w:type="dxa"/>
            <w:tcBorders/>
            <w:vAlign w:val="center"/>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March 31,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_and">
              <w:r>
                <w:rPr>
                  <w:rStyle w:val="InternetLink"/>
                  <w:rFonts w:ascii="Times New Roman" w:hAnsi="Times New Roman"/>
                  <w:color w:val="0000FF"/>
                  <w:sz w:val="20"/>
                  <w:u w:val="single"/>
                </w:rPr>
                <w:t>Condensed Statements of Operations and Comprehensive Loss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erred_stock_and_stockholders_deficit">
              <w:r>
                <w:rPr>
                  <w:rStyle w:val="InternetLink"/>
                  <w:rFonts w:ascii="Times New Roman" w:hAnsi="Times New Roman"/>
                  <w:color w:val="0000FF"/>
                  <w:sz w:val="20"/>
                  <w:u w:val="single"/>
                </w:rPr>
                <w:t>Condensed Statements of Convertible Preferred Stock and Stockholders' Equity (Deficit)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that are based on our management’s beliefs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advance the aprevo Technology Platform and any potential future products through applicable regulatory approval processes;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or improve our third-party payor reimbursement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and retain customers and surgeon users;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concerning orders for our products and utilization by existing hospitals and surgeons;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potential market size for the aprevo Technology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continue improving our products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or reduce the manufacturing times of our contract manufacturing organizations (“CMOs”);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reliance on a limited number of CMOs;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relationships with, and the capabilities of, our suppliers;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protection we are able to establish, maintain and enforce intellectual property rights covering our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increased expenses associated with being a public company;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achieve profitability;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those other factors described in the section titled “Risk Factors” in our Annual Report on Form 10-K as filed with the Securities and Exchange Commission (the “SEC”) on February 25, 2026, and in periodic reports that we file with the SEC, and our reports to stockholders. These filings are available at www.sec.gov and on our website at https://www.carlsmed.com.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w:t>
      </w:r>
      <w:r>
        <w:rPr>
          <w:rFonts w:ascii="Times New Roman" w:hAnsi="Times New Roman"/>
          <w:i/>
          <w:color w:val="000000"/>
          <w:sz w:val="20"/>
        </w:rPr>
        <w:t>Risk Factors</w:t>
      </w:r>
      <w:r>
        <w:rPr>
          <w:rFonts w:ascii="Times New Roman" w:hAnsi="Times New Roman"/>
          <w:color w:val="000000"/>
          <w:sz w:val="20"/>
        </w:rPr>
        <w:t xml:space="preserve">”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represent our views as of the date on which the statements are made. We anticipate that subsequent events and developments will cause our views to change. However, while we may elect to update these forward-looking statements at some point in the future, we have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own certain trademarks and trademark applications used in this Quarterly Report on Form 10-Q that are important to our business, including, among others, Carlsmed®, aprevo®, and myaprevo®. We also intend to apply for various trademarks that we use in connection with the operation of our business.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service marks, and trade names referred to in this Quarterly Report on Form 10-Q may appear without the “,” “®,” or “SM” symbol, but the omission of such references is not intended to indicate, in any way, that we will not assert, to the fullest extent under applicable law, our rights or the right of the applicable owner of these trademarks, service marks, and trade names.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4" w:name="condensed_balance_sheets"/>
      <w:bookmarkEnd w:id="4"/>
      <w:r>
        <w:rPr>
          <w:rFonts w:ascii="Times New Roman" w:hAnsi="Times New Roman"/>
          <w:color w:val="000000"/>
          <w:sz w:val="20"/>
        </w:rPr>
        <w:t>CONDENSED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for share and par value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9"/>
        <w:gridCol w:w="146"/>
        <w:gridCol w:w="216"/>
        <w:gridCol w:w="829"/>
        <w:gridCol w:w="166"/>
        <w:gridCol w:w="146"/>
        <w:gridCol w:w="231"/>
        <w:gridCol w:w="889"/>
        <w:gridCol w:w="393"/>
      </w:tblGrid>
      <w:tr>
        <w:trPr/>
        <w:tc>
          <w:tcPr>
            <w:tcW w:w="7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Accounts receivable, net of allowances of $2,055</w:t>
            </w:r>
            <w:r>
              <w:rPr>
                <w:rFonts w:ascii="Times New Roman" w:hAnsi="Times New Roman"/>
                <w:color w:val="000000"/>
                <w:sz w:val="20"/>
              </w:rPr>
              <w:t> </w:t>
            </w:r>
            <w:r>
              <w:rPr>
                <w:rFonts w:ascii="Times New Roman" w:hAnsi="Times New Roman"/>
                <w:color w:val="000000"/>
                <w:sz w:val="17"/>
              </w:rPr>
              <w:t>and $1,653, as of March 31,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126,673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portion of 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Commitments and contingencies (</w:t>
            </w:r>
            <w:r>
              <w:rPr>
                <w:rFonts w:ascii="Times New Roman" w:hAnsi="Times New Roman"/>
                <w:i/>
                <w:color w:val="000000"/>
                <w:sz w:val="17"/>
              </w:rPr>
              <w:t>Note 9</w:t>
            </w: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$0.00001</w:t>
            </w:r>
            <w:r>
              <w:rPr>
                <w:rFonts w:ascii="Times New Roman" w:hAnsi="Times New Roman"/>
                <w:color w:val="000000"/>
                <w:sz w:val="20"/>
              </w:rPr>
              <w:t> </w:t>
            </w:r>
            <w:r>
              <w:rPr>
                <w:rFonts w:ascii="Times New Roman" w:hAnsi="Times New Roman"/>
                <w:color w:val="000000"/>
                <w:sz w:val="17"/>
              </w:rPr>
              <w:t>par value; 10,000,000</w:t>
            </w:r>
            <w:r>
              <w:rPr>
                <w:rFonts w:ascii="Times New Roman" w:hAnsi="Times New Roman"/>
                <w:color w:val="000000"/>
                <w:sz w:val="20"/>
              </w:rPr>
              <w:t> </w:t>
            </w:r>
            <w:r>
              <w:rPr>
                <w:rFonts w:ascii="Times New Roman" w:hAnsi="Times New Roman"/>
                <w:color w:val="000000"/>
                <w:sz w:val="17"/>
              </w:rPr>
              <w:t>shares authorized and zero</w:t>
            </w:r>
            <w:r>
              <w:rPr>
                <w:rFonts w:ascii="Times New Roman" w:hAnsi="Times New Roman"/>
                <w:color w:val="000000"/>
                <w:sz w:val="20"/>
              </w:rPr>
              <w:t> </w:t>
            </w:r>
            <w:r>
              <w:rPr>
                <w:rFonts w:ascii="Times New Roman" w:hAnsi="Times New Roman"/>
                <w:color w:val="000000"/>
                <w:sz w:val="17"/>
              </w:rPr>
              <w:t>shares issued and outstanding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$0.00001</w:t>
            </w:r>
            <w:r>
              <w:rPr>
                <w:rFonts w:ascii="Times New Roman" w:hAnsi="Times New Roman"/>
                <w:color w:val="000000"/>
                <w:sz w:val="20"/>
              </w:rPr>
              <w:t> </w:t>
            </w:r>
            <w:r>
              <w:rPr>
                <w:rFonts w:ascii="Times New Roman" w:hAnsi="Times New Roman"/>
                <w:color w:val="000000"/>
                <w:sz w:val="17"/>
              </w:rPr>
              <w:t>par value; 600,000,000</w:t>
            </w:r>
            <w:r>
              <w:rPr>
                <w:rFonts w:ascii="Times New Roman" w:hAnsi="Times New Roman"/>
                <w:color w:val="000000"/>
                <w:sz w:val="20"/>
              </w:rPr>
              <w:t> </w:t>
            </w:r>
            <w:r>
              <w:rPr>
                <w:rFonts w:ascii="Times New Roman" w:hAnsi="Times New Roman"/>
                <w:color w:val="000000"/>
                <w:sz w:val="17"/>
              </w:rPr>
              <w:t>shares authorized, 27,232,278</w:t>
            </w:r>
            <w:r>
              <w:rPr>
                <w:rFonts w:ascii="Times New Roman" w:hAnsi="Times New Roman"/>
                <w:color w:val="000000"/>
                <w:sz w:val="20"/>
              </w:rPr>
              <w:t> </w:t>
            </w:r>
            <w:r>
              <w:rPr>
                <w:rFonts w:ascii="Times New Roman" w:hAnsi="Times New Roman"/>
                <w:color w:val="000000"/>
                <w:sz w:val="17"/>
              </w:rPr>
              <w:t>shares issued, and 27,181,501</w:t>
            </w:r>
            <w:r>
              <w:rPr>
                <w:rFonts w:ascii="Times New Roman" w:hAnsi="Times New Roman"/>
                <w:color w:val="000000"/>
                <w:sz w:val="20"/>
              </w:rPr>
              <w:t> </w:t>
            </w:r>
            <w:r>
              <w:rPr>
                <w:rFonts w:ascii="Times New Roman" w:hAnsi="Times New Roman"/>
                <w:color w:val="000000"/>
                <w:sz w:val="17"/>
              </w:rPr>
              <w:t>shares outstanding as of March 31, 2026; 600,000,000</w:t>
            </w:r>
            <w:r>
              <w:rPr>
                <w:rFonts w:ascii="Times New Roman" w:hAnsi="Times New Roman"/>
                <w:color w:val="000000"/>
                <w:sz w:val="20"/>
              </w:rPr>
              <w:t> </w:t>
            </w:r>
            <w:r>
              <w:rPr>
                <w:rFonts w:ascii="Times New Roman" w:hAnsi="Times New Roman"/>
                <w:color w:val="000000"/>
                <w:sz w:val="17"/>
              </w:rPr>
              <w:t>shares authorized, 26,664,243</w:t>
            </w:r>
            <w:r>
              <w:rPr>
                <w:rFonts w:ascii="Times New Roman" w:hAnsi="Times New Roman"/>
                <w:color w:val="000000"/>
                <w:sz w:val="20"/>
              </w:rPr>
              <w:t> </w:t>
            </w:r>
            <w:r>
              <w:rPr>
                <w:rFonts w:ascii="Times New Roman" w:hAnsi="Times New Roman"/>
                <w:color w:val="000000"/>
                <w:sz w:val="17"/>
              </w:rPr>
              <w:t>shares issued, and 26,604,505</w:t>
            </w:r>
            <w:r>
              <w:rPr>
                <w:rFonts w:ascii="Times New Roman" w:hAnsi="Times New Roman"/>
                <w:color w:val="000000"/>
                <w:sz w:val="20"/>
              </w:rPr>
              <w:t> </w:t>
            </w:r>
            <w:r>
              <w:rPr>
                <w:rFonts w:ascii="Times New Roman" w:hAnsi="Times New Roman"/>
                <w:color w:val="000000"/>
                <w:sz w:val="17"/>
              </w:rPr>
              <w:t>shares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199,674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98,869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5" w:name="condensed_statements_of_operations_and"/>
      <w:bookmarkEnd w:id="5"/>
      <w:r>
        <w:rPr>
          <w:rFonts w:ascii="Times New Roman" w:hAnsi="Times New Roman"/>
          <w:color w:val="000000"/>
          <w:sz w:val="20"/>
        </w:rPr>
        <w:t>CONDENSED STATEMENTS OF OPERATIONS AND COMPREHENSIVE LOSS</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5146"/>
        <w:gridCol w:w="146"/>
        <w:gridCol w:w="218"/>
        <w:gridCol w:w="1070"/>
        <w:gridCol w:w="171"/>
        <w:gridCol w:w="150"/>
        <w:gridCol w:w="218"/>
        <w:gridCol w:w="962"/>
        <w:gridCol w:w="7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to compute</w:t>
              <w:br/>
              <w:t>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26,835,841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4,299,492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6" w:name="preferred_stock_and_stockholders_deficit"/>
      <w:bookmarkEnd w:id="6"/>
      <w:r>
        <w:rPr>
          <w:rFonts w:ascii="Times New Roman" w:hAnsi="Times New Roman"/>
          <w:color w:val="000000"/>
          <w:sz w:val="20"/>
        </w:rPr>
        <w:t>CONDENSED STATEMENT OF CONVERTIBLE PREFERRED STOCK AND STOCKHOLDERS’ EQUITY (DEFICIT)</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 except for share amounts)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pPr>
      <w:r>
        <w:rPr/>
        <w:t> </w:t>
      </w:r>
    </w:p>
    <w:tbl>
      <w:tblPr>
        <w:tblW w:w="12943" w:type="dxa"/>
        <w:jc w:val="left"/>
        <w:tblInd w:w="0" w:type="dxa"/>
        <w:tblLayout w:type="fixed"/>
        <w:tblCellMar>
          <w:top w:w="28" w:type="dxa"/>
          <w:left w:w="28" w:type="dxa"/>
          <w:bottom w:w="28" w:type="dxa"/>
          <w:right w:w="28" w:type="dxa"/>
        </w:tblCellMar>
      </w:tblPr>
      <w:tblGrid>
        <w:gridCol w:w="931"/>
        <w:gridCol w:w="146"/>
        <w:gridCol w:w="146"/>
        <w:gridCol w:w="691"/>
        <w:gridCol w:w="146"/>
        <w:gridCol w:w="146"/>
        <w:gridCol w:w="181"/>
        <w:gridCol w:w="511"/>
        <w:gridCol w:w="146"/>
        <w:gridCol w:w="146"/>
        <w:gridCol w:w="146"/>
        <w:gridCol w:w="691"/>
        <w:gridCol w:w="146"/>
        <w:gridCol w:w="146"/>
        <w:gridCol w:w="181"/>
        <w:gridCol w:w="511"/>
        <w:gridCol w:w="146"/>
        <w:gridCol w:w="146"/>
        <w:gridCol w:w="146"/>
        <w:gridCol w:w="691"/>
        <w:gridCol w:w="146"/>
        <w:gridCol w:w="146"/>
        <w:gridCol w:w="181"/>
        <w:gridCol w:w="511"/>
        <w:gridCol w:w="146"/>
        <w:gridCol w:w="146"/>
        <w:gridCol w:w="146"/>
        <w:gridCol w:w="146"/>
        <w:gridCol w:w="766"/>
        <w:gridCol w:w="146"/>
        <w:gridCol w:w="146"/>
        <w:gridCol w:w="196"/>
        <w:gridCol w:w="375"/>
        <w:gridCol w:w="146"/>
        <w:gridCol w:w="146"/>
        <w:gridCol w:w="181"/>
        <w:gridCol w:w="586"/>
        <w:gridCol w:w="151"/>
        <w:gridCol w:w="146"/>
        <w:gridCol w:w="194"/>
        <w:gridCol w:w="677"/>
        <w:gridCol w:w="151"/>
        <w:gridCol w:w="146"/>
        <w:gridCol w:w="217"/>
        <w:gridCol w:w="669"/>
        <w:gridCol w:w="19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B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C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4,890,123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52,847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4,139,219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C convertible preferred stock, net of issuance costs of $80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Deemed dividend related to issuance of 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4,902,814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4,335,051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6,007,866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4,570,543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(76,900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(76,609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26,604,505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199,674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98,869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Cashless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27,181,501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201,749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(109,501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92,248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7" w:name="condensed_statements_of_cash_flows"/>
      <w:bookmarkEnd w:id="7"/>
      <w:r>
        <w:rPr>
          <w:rFonts w:ascii="Times New Roman" w:hAnsi="Times New Roman"/>
          <w:color w:val="000000"/>
          <w:sz w:val="20"/>
        </w:rPr>
        <w:t>CONDENSED STATEMENTS OF CASH FLOWS</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9827" w:type="dxa"/>
        <w:jc w:val="left"/>
        <w:tblInd w:w="0" w:type="dxa"/>
        <w:tblLayout w:type="fixed"/>
        <w:tblCellMar>
          <w:top w:w="28" w:type="dxa"/>
          <w:left w:w="28" w:type="dxa"/>
          <w:bottom w:w="28" w:type="dxa"/>
          <w:right w:w="28" w:type="dxa"/>
        </w:tblCellMar>
      </w:tblPr>
      <w:tblGrid>
        <w:gridCol w:w="6871"/>
        <w:gridCol w:w="146"/>
        <w:gridCol w:w="236"/>
        <w:gridCol w:w="823"/>
        <w:gridCol w:w="185"/>
        <w:gridCol w:w="163"/>
        <w:gridCol w:w="236"/>
        <w:gridCol w:w="756"/>
        <w:gridCol w:w="411"/>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 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deferred initial public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C convertible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73,116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CONDENSED STATEMENTS OF CASH FLOWS - CONTINUED</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(in thousands)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9786" w:type="dxa"/>
        <w:jc w:val="left"/>
        <w:tblInd w:w="0" w:type="dxa"/>
        <w:tblLayout w:type="fixed"/>
        <w:tblCellMar>
          <w:top w:w="28" w:type="dxa"/>
          <w:left w:w="28" w:type="dxa"/>
          <w:bottom w:w="28" w:type="dxa"/>
          <w:right w:w="28" w:type="dxa"/>
        </w:tblCellMar>
      </w:tblPr>
      <w:tblGrid>
        <w:gridCol w:w="7051"/>
        <w:gridCol w:w="146"/>
        <w:gridCol w:w="245"/>
        <w:gridCol w:w="785"/>
        <w:gridCol w:w="169"/>
        <w:gridCol w:w="169"/>
        <w:gridCol w:w="245"/>
        <w:gridCol w:w="785"/>
        <w:gridCol w:w="191"/>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early exercised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deferred offering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 use software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Heading1"/>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Heading1"/>
        <w:bidi w:val="0"/>
        <w:spacing w:before="120" w:after="283"/>
        <w:jc w:val="center"/>
        <w:rPr>
          <w:rFonts w:ascii="Times New Roman" w:hAnsi="Times New Roman"/>
          <w:color w:val="000000"/>
          <w:sz w:val="20"/>
        </w:rPr>
      </w:pPr>
      <w:bookmarkStart w:id="8" w:name="notes_to_condensed_financial_statements"/>
      <w:bookmarkEnd w:id="8"/>
      <w:r>
        <w:rPr>
          <w:rFonts w:ascii="Times New Roman" w:hAnsi="Times New Roman"/>
          <w:color w:val="000000"/>
          <w:sz w:val="20"/>
        </w:rPr>
        <w:t>NOTES TO CONDENSED FINANCIAL STATEMENTS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Carlsmed, Inc. (the “Company”) is a medical technology company pioneering artificial intelligence ("AI")-enabled personalized spine surgery solutions with a mission to improve outcomes and decrease the cost of healthcare for spine surgery and beyond. The Company was incorporated in Delaware in June 2018 and is headquartered in Carlsbad, California. The Company designs, manufactures, and markets the </w:t>
      </w:r>
      <w:r>
        <w:rPr>
          <w:rFonts w:ascii="Times New Roman" w:hAnsi="Times New Roman"/>
          <w:i/>
          <w:color w:val="000000"/>
          <w:sz w:val="20"/>
        </w:rPr>
        <w:t>aprevo</w:t>
      </w:r>
      <w:r>
        <w:rPr>
          <w:rFonts w:ascii="Times New Roman" w:hAnsi="Times New Roman"/>
          <w:color w:val="000000"/>
          <w:sz w:val="20"/>
        </w:rPr>
        <w:t>® Technology Platform for spine fusion surgery procedures that are performed at hospitals and ambulatory surgical centers.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platform (the “aprevo Technology Platform”) includes proprietary surgical planning software, using outcomes-based algorithms that are aided with artificial intelligence, and resulting patient-specific implants for spine surgery. This platform provides each patient with personalized alignment to address their unique pathology and anatomy.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Food and Drug Administration (“FDA”) cleared the aprevo lumbar interbody implants through its 510(k) regulatory pathway for the correction of adult lumbar spinal deformity in December 2020 and several degenerative conditions of the lumbar spine in August 2022. The Company commenced its limited clinical release with its first U.S. patient implant in February 2021, and in October 2021, the Company commenced its U.S. commercial launch of aprevo.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FDA 510(k) cleared the aprevo interbody implants for cervical spine fusion surgery as part of the FDA-cleared aprevo Technology Platform,and in December 2025, the Company commenced the U.S. launch of aprevo Technology Platform for cervical fusion surgeries. Also in December 2025, the Company received FDA 510(k) clearance for accompanying personalized cervical plating solutions. In February 2026, the Company completed the first personalized corra cervical plating procedure and expects to commercially launch the corra Cervical Plating System by December 2026.</w:t>
      </w:r>
    </w:p>
    <w:p>
      <w:pPr>
        <w:pStyle w:val="TextBody"/>
        <w:bidi w:val="0"/>
        <w:spacing w:before="36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10, 2025, the Company effectuated a 1-for-5.58 reverse stock split of the Company’s issued and outstanding shares of common stock, Series A, Series B, and Series C convertible preferred stock, as well as stock option awards to purchase shares of common stock, restricted stock units (“RSUs”), and warrants to purchase shares of common stock, Series B convertible preferred stock, and Series C convertible preferred stock. Consequently, all issued and outstanding shares of stock, stock option awards, RSUs, warrants, and per share data have been retroactively adjusted in these financial statements to reflect the reverse stock split for all periods presented. The par value of the common stock and convertible preferred stock remain unchanged. As the number and issuance price of all outstanding convertible preferred stock were adjusted, the conversion ratios for each series of the Company’s convertible preferred stock were unchanged. Stockholders entitled to fractional shares as a result of the reverse stock split received cash payment in lieu of receiving fractional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24, 2025, the Company completed its initial public offering of 6,700,000 shares of its common stock, at a price to the public of $15.00 per share (the “IPO”). The net proceeds received by the Company from the IPO were $93.5 million, after deducting underwriting discounts and commissions and before additional offering expenses of $5.4 million paid by the Company. The underwriters had the option for a period of 30 days from the IPO date to purchase an additional 1,005,000 shares of common stock at the IPO price, less underwriting discounts and commissions, which was not exercised. Immediately prior to the closing of the IPO on July 24, 2025, all shares of the Company’s convertible preferred stock converted into shares of the Company’s common stock. In connection with this conversion, all warrants to purchase convertible preferred stock are now exercisable into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Company had $97.1 million of cash, cash equivalents, restricted cash and short-term investments, $15.6 million debt outstanding under its loan and security agreement with Customers Bank (the “Customers Loan Agreement”), and an accumulated deficit of $109.5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to continue to generate operating losses for the foreseeable future as it continues to expand commercial operations and develop its product portfolio. The Company believes that its existing cash on hand will be sufficient to meet anticipated capital requirements for its operations for at least 12 months from the date of the issuance of the accompanying unaudited condensed financial statements.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by management in accordance with accounting principles generally accepted in the United States (“GAAP”) for interim financial reporting and as required by S-X, Rule 10-1. Accordingly, they do not include all of the information and disclosures required by U.S. GAAP for a complete set of financial statements. In the opinion of the Company’s management, the accompanying unaudited condensed financial statements and notes have been prepared on the same basis as the audited financial statements for the year ended December 31, 2025, and include all adjustments (consisting of normal recurring adjustments) necessary for a fair statement of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should be read in conjunction with the Company’s audited annual financial statements and notes as of and for the year ended December 31, 2025 thereto included in the Company’s Annual Report on Form 10-K, filed with the SEC on February 25, 2026. The Company’s results of operations for the three months ended March 31, 2026 are not necessarily indicative of the results to be expected for the year ending December 31, 2026 or for any other interim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financial statements in conformity with GAAP requires management to make informed estimates that require assumptions that affect the reported amounts in the accompanying unaudited condensed financial statements. Management bases its estimates on historical experience and on various other market-specific and relevant assumptions that it believes to be reasonable under the circumstances. Actual results could differ materially under different assumptions and conditions.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pPr>
      <w:r>
        <w:rPr>
          <w:color w:val="000000"/>
        </w:rPr>
        <w:t>“</w:t>
      </w:r>
      <w:r>
        <w:rPr>
          <w:rFonts w:ascii="Times New Roman" w:hAnsi="Times New Roman"/>
          <w:color w:val="000000"/>
          <w:sz w:val="20"/>
        </w:rPr>
        <w:t xml:space="preserve">Cash and cash equivalents” in the accompanying condensed balance sheets consist of bank deposits and highly liquid investments, including money market fund accounts, and certificates of deposit, with original maturities of three months or less from the purchase date. The carrying amounts reported in the accompanying condensed balance sheets for cash and cash equivalents are valued at cost, which approximate their fair value.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pPr>
      <w:r>
        <w:rPr>
          <w:color w:val="000000"/>
        </w:rPr>
        <w:t>“</w:t>
      </w:r>
      <w:r>
        <w:rPr>
          <w:rFonts w:ascii="Times New Roman" w:hAnsi="Times New Roman"/>
          <w:color w:val="000000"/>
          <w:sz w:val="20"/>
        </w:rPr>
        <w:t>Restricted cash” in the accompanying condensed balance sheets as of March 31, 2026 and December 31, 2025 represents cash held as collateral for the Company’s facility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pPr>
      <w:r>
        <w:rPr>
          <w:color w:val="000000"/>
        </w:rPr>
        <w:t>“</w:t>
      </w:r>
      <w:r>
        <w:rPr>
          <w:rFonts w:ascii="Times New Roman" w:hAnsi="Times New Roman"/>
          <w:color w:val="000000"/>
          <w:sz w:val="20"/>
        </w:rPr>
        <w:t>Short-term investments” in the accompanying condensed balance sheets represents investments in certificates of deposits which are carried at cost and have original maturities of greater than 90 days but within one year. Accrued interest earned on short-term investments is recorded within “Prepaid expenses and other current assets” on the accompanying condensed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and Allowance for Credit Losses</w:t>
      </w:r>
      <w:r>
        <w:rPr>
          <w:rFonts w:ascii="Times New Roman" w:hAnsi="Times New Roman"/>
          <w:color w:val="000000"/>
          <w:sz w:val="20"/>
        </w:rPr>
        <w:t xml:space="preserve"> </w:t>
      </w:r>
    </w:p>
    <w:p>
      <w:pPr>
        <w:pStyle w:val="TextBody"/>
        <w:bidi w:val="0"/>
        <w:spacing w:before="120" w:after="283"/>
        <w:jc w:val="left"/>
        <w:rPr/>
      </w:pPr>
      <w:r>
        <w:rPr>
          <w:color w:val="000000"/>
        </w:rPr>
        <w:t>“</w:t>
      </w:r>
      <w:r>
        <w:rPr>
          <w:rFonts w:ascii="Times New Roman" w:hAnsi="Times New Roman"/>
          <w:color w:val="000000"/>
          <w:sz w:val="20"/>
        </w:rPr>
        <w:t xml:space="preserve">Accounts receivable, net of allowances” in the accompanying condensed balance sheets are presented net of allowances for credit losses. The Company maintains an allowance for expected credit losses for accounts receivable, which is recorded as an offset to accounts receivable. Changes in this allowance are recorded as “general and administrative” expense in the condensed statements of operations and comprehensive loss. Expected credit losses include losses expected based on known credit issues with certain customers as well as a general expected credit loss allowance based on relevant information, including historical loss rates, current conditions, and reasonable economic forecasts that affect collectability.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maintained an allowance for credit losses accounts of $2.1 million and $1.7 million as of March 31, 2026 and December 31, 2025, respectively. The Company recorded a provision for credit losses of $0.4 million and $0.1 million for the three months ended March 31, 2026 and 2025,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Financial Instrument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and cash equivalents in deposits at financial institutions that may exceed federally insured limits and certain accounts receivable balances. Risks associated with cash and cash equivalents are mitigated by banking with creditworthy institutions with platforms that administer deposits across multiple banks within federally insured limits. Additionally, the Company invests cash in certificates of deposit (“CDs”) through the Certificate of Deposit Account Registry Service (“CDARS”) account. Under the CDARS program, large deposits are allocated among multiple FDIC (“Federal Deposit Insurance Corporation”) insured member banks in increments of less than $250,000 per institution. As a result, substantially all such deposits are eligible for FDIC insurance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mitigates potential losses from uncollectible accounts receivable through its credit approval and ongoing collection and customer monitoring activities. To date, the Company has not experienced any losses on its financial instruments and believes that it has adequately recorded allowances for uncollectible accounts receivable in each reported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did not have accounts receivable balances from any one customer exceeding 10% of total accounts receivable. The Company did not have revenue from any one customer exceeding 10% of total revenue for the three months ended March 31, 2026. There was one customer that accounted for 10% of total revenue for the three months ended March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are recorded at fair value on a recurring basis in the accompanying condensed balance sheets. These accounts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accounting guidance on fair value measurements establishes a three-tier fair value hierarchy for disclosure of fair value measurements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1</w:t>
      </w:r>
      <w:r>
        <w:rPr>
          <w:rFonts w:ascii="Times New Roman" w:hAnsi="Times New Roman"/>
          <w:color w:val="000000"/>
          <w:sz w:val="20"/>
        </w:rPr>
        <w:t xml:space="preserve">: Quoted prices (unadjusted) in active markets for identical assets or liabilities that are publicly accessible at the measurement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2</w:t>
      </w:r>
      <w:r>
        <w:rPr>
          <w:rFonts w:ascii="Times New Roman" w:hAnsi="Times New Roman"/>
          <w:color w:val="000000"/>
          <w:sz w:val="20"/>
        </w:rPr>
        <w:t xml:space="preserve">: Observable prices that are based on inputs not quoted on active markets, but that are corroborated by market data. These inputs may include quoted prices for similar assets or liabilities or quoted market prices in markets that are not active to the general public.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3</w:t>
      </w:r>
      <w:r>
        <w:rPr>
          <w:rFonts w:ascii="Times New Roman" w:hAnsi="Times New Roman"/>
          <w:color w:val="000000"/>
          <w:sz w:val="20"/>
        </w:rPr>
        <w:t xml:space="preserve">: Unobservable inputs that are supported by little or no market activity and that are significant to the fair value of the assets or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consisting of cash, cash equivalents, short-term investments, accounts receivables, prepaid expenses, accounts payable, and accrued liabilities approximate fair value due to the short maturities for each.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6"/>
        <w:gridCol w:w="146"/>
        <w:gridCol w:w="211"/>
        <w:gridCol w:w="781"/>
        <w:gridCol w:w="146"/>
        <w:gridCol w:w="146"/>
        <w:gridCol w:w="211"/>
        <w:gridCol w:w="676"/>
        <w:gridCol w:w="146"/>
        <w:gridCol w:w="146"/>
        <w:gridCol w:w="221"/>
        <w:gridCol w:w="710"/>
        <w:gridCol w:w="146"/>
        <w:gridCol w:w="146"/>
        <w:gridCol w:w="415"/>
        <w:gridCol w:w="681"/>
        <w:gridCol w:w="391"/>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Market</w:t>
              <w:br/>
              <w:t>Prices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Certificates of deposit with original maturity of 3 months or less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Certificates of deposit with original maturity greater than 3 months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Certificates of deposit with original maturity of 3 months or less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Certificates of deposit with original maturity greater than 3 months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Included as a component of “Cash and cash equivalents” on the accompanying Condensed Balance Sheets.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Included as a component of “Short-term investments” on the accompanying Condensed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is initiated upon surgeon approval of the digital surgical plan for each patient, and implant inventory is not made-to-stock, allowing the Company to maintain minimal inventory. Work-in-process inventory consists of titanium alloy implants for spine fusion surgical procedures, pending sterilization and packaging. Finished goods inventory is ready for shipment to the customer for use in a spine fusion surgical procedure.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Inventories are valued at the lower of cost or net realizable value, determined by the specific identification method. At each balance sheet date, the Company evaluates its inventories for obsolescence, based on notification of permanently canceled surgeries and ongoing estimates of permanent cancellations. The Company records the corresponding charge for obsolete inventory through “cost of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reported “inventory” are as follows:</w:t>
      </w:r>
    </w:p>
    <w:p>
      <w:pPr>
        <w:pStyle w:val="TextBody"/>
        <w:bidi w:val="0"/>
        <w:jc w:val="both"/>
        <w:rPr/>
      </w:pPr>
      <w:r>
        <w:rPr/>
        <w:t> </w:t>
      </w:r>
    </w:p>
    <w:tbl>
      <w:tblPr>
        <w:tblW w:w="5855" w:type="dxa"/>
        <w:jc w:val="left"/>
        <w:tblInd w:w="0" w:type="dxa"/>
        <w:tblLayout w:type="fixed"/>
        <w:tblCellMar>
          <w:top w:w="28" w:type="dxa"/>
          <w:left w:w="28" w:type="dxa"/>
          <w:bottom w:w="28" w:type="dxa"/>
          <w:right w:w="28" w:type="dxa"/>
        </w:tblCellMar>
      </w:tblPr>
      <w:tblGrid>
        <w:gridCol w:w="1426"/>
        <w:gridCol w:w="146"/>
        <w:gridCol w:w="453"/>
        <w:gridCol w:w="1227"/>
        <w:gridCol w:w="146"/>
        <w:gridCol w:w="146"/>
        <w:gridCol w:w="516"/>
        <w:gridCol w:w="1404"/>
        <w:gridCol w:w="3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closing of the IPO on July 24, 2025, the Company had issued warrants to purchase convertible preferred stock in conjunction with the Customers Loan Agreement (see </w:t>
      </w:r>
      <w:r>
        <w:rPr>
          <w:rFonts w:ascii="Times New Roman" w:hAnsi="Times New Roman"/>
          <w:i/>
          <w:color w:val="000000"/>
          <w:sz w:val="20"/>
        </w:rPr>
        <w:t>Note 4</w:t>
      </w:r>
      <w:r>
        <w:rPr>
          <w:rFonts w:ascii="Times New Roman" w:hAnsi="Times New Roman"/>
          <w:color w:val="000000"/>
          <w:sz w:val="20"/>
        </w:rPr>
        <w:t xml:space="preserve">). The Company accounted for its issued convertible preferred stock warrants as liabilities in accordance with </w:t>
      </w:r>
      <w:r>
        <w:rPr>
          <w:rFonts w:ascii="Times New Roman" w:hAnsi="Times New Roman"/>
          <w:i/>
          <w:color w:val="000000"/>
          <w:sz w:val="20"/>
        </w:rPr>
        <w:t>ASC 480</w:t>
      </w:r>
      <w:r>
        <w:rPr>
          <w:rFonts w:ascii="Times New Roman" w:hAnsi="Times New Roman"/>
          <w:color w:val="000000"/>
          <w:sz w:val="20"/>
        </w:rPr>
        <w:t xml:space="preserve">. The liability-classified warrants were initially measured at fair value, resulting in an implied discount on the related financing arrangement that was deferred as an asset as it relates to tranches of the Customers Loan Agreement. The deferred asset was recorded within “other assets” on the balance sheet and was amortized into interest expense using the straight-line method over the period in which the Company could draw on the remaining tranches of the credit facility. Changes in fair value of the warrant liabilities were recognized in the condensed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IPO, the Series B Warrant and Series C Warrants were exercisable into up to 58,420 and 20,375 of Series B convertible preferred stock and Series C convertible preferred stock, respectively. In conjunction with the IPO, all of the outstanding shares of convertible preferred stock were converted into common stock. As a result, the Series B Warrant and Series C Warrant that had previously been exercisable for convertible preferred stock became exercisable for common stock. Upon the closing of the IPO on July 24, 2025, the Series B Warrant that was exercisable into 52,776 shares of common stock and the Series C Warrant that was exercisable into 5,093 shares of common stock met the criteria for equity classification and accordingly were reclassified from liabilities to equity. The remainder of shares under each warrant were contingently exercisable on specified revenue and loan draw milestones and remained classified as liabilities because they did not meet the criteria for equity classification.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2025, the Company achieved a revenue milestone, causing 5,095 additional shares of common stock underlying the Series C Warrant to become exercisable and accordingly were reclassified from liabilities to equity as they met the criteria for equity classification.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29, 2025, as a part of the Fifth Amendment to the Customers Loan Agreement, the Series B Warrant and Series C Warrant were amended and restated and the respective remaining 5,644 and 10,187 shares of common stock that were exercisable contingent on loan draw milestones were canceled. On the effective date of the Fifth Amendment, the Company remeasured the warrants for the final time and recognized the change in fair value within the statements of operations and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no longer had any warrants outstanding that were classified as liabilities. During the three months ended March 31, 2026, Customers Bank exercised the Series B Warrant and Series C Warrant on a cashless basis, resulting in the issuance of 30,366 shares of common stock. As a result of the exercise, the Series B Warrant and Series C Warrant are no longer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warrant liabilities was determined based on significant inputs not observable in the market, which represents a “Level 3” measurement within the fair value hierarchy. Prior to the IPO, the fair values of the warrant liabilities were measured using the “hybrid method.” The hybrid method is often used when a company is expecting a liquidity event in the near future and is a combination of the option-pricing and probability-weighted expected return methods. Estimates and assumptions impacting the fair value measurement included the fair value per share of the underlying shares of convertible preferred stock, the remaining contractual term of the warrants, and probability of number of shares the warrants will become exercisable into. The most significant assumption in the model impacting the fair value of the warrants was the fair value of the Company’s convertible preferred stock as of each remeasurement date. Subsequent to the IPO, the fair value of the warrant liabilities was measured using the Black-Scholes option pricing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warrant liabilities outstanding as of or during the three months ended March 31, 2026. A summary of the changes in the total fair value of the warrant liabilities for the three months ended March 31, 2025, is as follows: </w:t>
      </w:r>
    </w:p>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3451"/>
        <w:gridCol w:w="146"/>
        <w:gridCol w:w="270"/>
        <w:gridCol w:w="54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w:t>
              <w:b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encompasses all changes in equity other than those arising from transactions with stockholders. For the three months ended March 31, 2026 and 2025, the Company had no other comprehensive loss items and accordingly, "net loss" equaled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Instruments - Credit Losses</w:t>
      </w:r>
      <w:r>
        <w:rPr>
          <w:rFonts w:ascii="Times New Roman" w:hAnsi="Times New Roman"/>
          <w:color w:val="000000"/>
          <w:sz w:val="20"/>
        </w:rPr>
        <w:t xml:space="preserve"> - 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xml:space="preserve"> (“ASU 2025-05”). This ASU provides entities with the option to elect a practical expedient that assumes that the current conditions as of the balance sheet date will remain unchanged for the remaining life of the asset when developing a reasonable and supportable forecast as part of estimating expected credit losses on these assets. ASU 2025-05 is effective for fiscal years beginning after December 15, 2025 and interim periods within those fiscal years. The adoption of ASU 2025-05 did not have a material impact on the Company's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Accounting Standards Not Yet Effective</w:t>
      </w:r>
    </w:p>
    <w:p>
      <w:pPr>
        <w:pStyle w:val="TextBody"/>
        <w:bidi w:val="0"/>
        <w:spacing w:before="120" w:after="283"/>
        <w:jc w:val="left"/>
        <w:rPr>
          <w:rFonts w:ascii="Times New Roman" w:hAnsi="Times New Roman"/>
          <w:sz w:val="20"/>
        </w:rPr>
      </w:pPr>
      <w:r>
        <w:rPr>
          <w:rFonts w:ascii="Times New Roman" w:hAnsi="Times New Roman"/>
          <w:i/>
          <w:color w:val="000000"/>
          <w:sz w:val="20"/>
        </w:rPr>
        <w:t>Expense Disaggregation Disclosures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(“ASU 2024-03”). This ASU requires new financial statement disclosures disaggregating prescribed expense categories within relevant income statement expense captions. ASU 2024-03 will be effective for fiscal years beginning after December 15, 2026, and interim periods beginning after December 15, 2027. Early adoption is permitted. The Company is currently evaluating the impact of adopting the standard.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Internal-Use Software </w:t>
      </w:r>
      <w:r>
        <w:rPr>
          <w:rFonts w:ascii="Times New Roman" w:hAnsi="Times New Roman"/>
          <w:color w:val="000000"/>
          <w:sz w:val="20"/>
        </w:rPr>
        <w:t xml:space="preserve">- In September 2025, the FASB issued ASU 2025-06, </w:t>
      </w:r>
      <w:r>
        <w:rPr>
          <w:rFonts w:ascii="Times New Roman" w:hAnsi="Times New Roman"/>
          <w:i/>
          <w:color w:val="000000"/>
          <w:sz w:val="20"/>
        </w:rPr>
        <w:t xml:space="preserve">Intangibles - Goodwill and Other - Internal-Use Software (Subtopic 350-40): Targeted Improvements to the Accounting for Internal-Use Software </w:t>
      </w:r>
      <w:r>
        <w:rPr>
          <w:rFonts w:ascii="Times New Roman" w:hAnsi="Times New Roman"/>
          <w:color w:val="000000"/>
          <w:sz w:val="20"/>
        </w:rPr>
        <w:t>(“ASU 2025-06”). This ASU is intended to simplify the capitalization guidance by removing all references to prescriptive and sequential software development stages. This ASU also requires entities to begin capitalizing software costs when management authorizes and commits to funding the software project, and it is probable that the project will be completed and the software will be used for its intended purpose. ASU 2025-06 will be effective for fiscal years beginning after December 15, 2027 and interim periods within those fiscal years. Early adoption is permitted. The Company is currently evaluating the impact of adopting the standard.</w:t>
      </w:r>
    </w:p>
    <w:p>
      <w:pPr>
        <w:pStyle w:val="TextBody"/>
        <w:bidi w:val="0"/>
        <w:spacing w:before="120" w:after="283"/>
        <w:jc w:val="left"/>
        <w:rPr>
          <w:rFonts w:ascii="Times New Roman" w:hAnsi="Times New Roman"/>
          <w:sz w:val="20"/>
        </w:rPr>
      </w:pPr>
      <w:r>
        <w:rPr>
          <w:rFonts w:ascii="Times New Roman" w:hAnsi="Times New Roman"/>
          <w:i/>
          <w:color w:val="000000"/>
          <w:sz w:val="20"/>
        </w:rPr>
        <w:t>Derivatives and Share-Based Consideration from a Customer</w:t>
      </w:r>
      <w:r>
        <w:rPr>
          <w:rFonts w:ascii="Times New Roman" w:hAnsi="Times New Roman"/>
          <w:color w:val="000000"/>
          <w:sz w:val="20"/>
        </w:rPr>
        <w:t xml:space="preserve"> - In September 2025, the FASB issued ASU 2025-07, </w:t>
      </w:r>
      <w:r>
        <w:rPr>
          <w:rFonts w:ascii="Times New Roman" w:hAnsi="Times New Roman"/>
          <w:i/>
          <w:color w:val="000000"/>
          <w:sz w:val="20"/>
        </w:rPr>
        <w:t>Derivatives and Hedging (Topic 815)</w:t>
      </w:r>
      <w:r>
        <w:rPr>
          <w:rFonts w:ascii="Times New Roman" w:hAnsi="Times New Roman"/>
          <w:color w:val="000000"/>
          <w:sz w:val="20"/>
        </w:rPr>
        <w:t xml:space="preserve"> and </w:t>
      </w:r>
      <w:r>
        <w:rPr>
          <w:rFonts w:ascii="Times New Roman" w:hAnsi="Times New Roman"/>
          <w:i/>
          <w:color w:val="000000"/>
          <w:sz w:val="20"/>
        </w:rPr>
        <w:t>Revenue from Contracts with Customers (Topic 606): Derivatives Scope Refinements and Scope Clarification for Share-Based Noncash Consideration from a Customer in a Revenue Contract</w:t>
      </w:r>
      <w:r>
        <w:rPr>
          <w:rFonts w:ascii="Times New Roman" w:hAnsi="Times New Roman"/>
          <w:color w:val="000000"/>
          <w:sz w:val="20"/>
        </w:rPr>
        <w:t xml:space="preserve"> ("ASU 2025-07"). This ASU provides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amendments are effective for annual reporting periods beginning after December 15, 2026, including interim periods within those fiscal years. Early adoption is permitted. The Company is currently evaluating the impact of adopting the standard.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3. Balance Sheet Account Detail</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composition of selected captions within the accompanying Condensed Balance Sheets are summarized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“property and equipment, net” as of March 31, 2026 and December 31, 2025 are as follows:</w:t>
      </w:r>
    </w:p>
    <w:p>
      <w:pPr>
        <w:pStyle w:val="TextBody"/>
        <w:bidi w:val="0"/>
        <w:jc w:val="left"/>
        <w:rPr/>
      </w:pPr>
      <w:r>
        <w:rPr/>
        <w:t> </w:t>
      </w:r>
    </w:p>
    <w:tbl>
      <w:tblPr>
        <w:tblW w:w="7190" w:type="dxa"/>
        <w:jc w:val="left"/>
        <w:tblInd w:w="0" w:type="dxa"/>
        <w:tblLayout w:type="fixed"/>
        <w:tblCellMar>
          <w:top w:w="28" w:type="dxa"/>
          <w:left w:w="28" w:type="dxa"/>
          <w:bottom w:w="28" w:type="dxa"/>
          <w:right w:w="28" w:type="dxa"/>
        </w:tblCellMar>
      </w:tblPr>
      <w:tblGrid>
        <w:gridCol w:w="2721"/>
        <w:gridCol w:w="146"/>
        <w:gridCol w:w="453"/>
        <w:gridCol w:w="1227"/>
        <w:gridCol w:w="166"/>
        <w:gridCol w:w="146"/>
        <w:gridCol w:w="516"/>
        <w:gridCol w:w="1404"/>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color w:val="000000"/>
        </w:rPr>
        <w:t>“</w:t>
      </w:r>
      <w:r>
        <w:rPr>
          <w:rFonts w:ascii="Times New Roman" w:hAnsi="Times New Roman"/>
          <w:color w:val="000000"/>
          <w:sz w:val="20"/>
        </w:rPr>
        <w:t>Depreciation expense” for the three months ended March 31, 2026 and 2025 was $0.1 million and less than $0.1 million, respectively. The Company has not recognized any impairment loss for any long-lived assets for the three months ended March 31,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“accrued liabilities” as of March 31, 2026 and December 31, 2025 are as follows:</w:t>
      </w:r>
    </w:p>
    <w:p>
      <w:pPr>
        <w:pStyle w:val="TextBody"/>
        <w:bidi w:val="0"/>
        <w:jc w:val="left"/>
        <w:rPr/>
      </w:pPr>
      <w:r>
        <w:rPr/>
        <w:t> </w:t>
      </w:r>
    </w:p>
    <w:tbl>
      <w:tblPr>
        <w:tblW w:w="9695" w:type="dxa"/>
        <w:jc w:val="left"/>
        <w:tblInd w:w="0" w:type="dxa"/>
        <w:tblLayout w:type="fixed"/>
        <w:tblCellMar>
          <w:top w:w="28" w:type="dxa"/>
          <w:left w:w="28" w:type="dxa"/>
          <w:bottom w:w="28" w:type="dxa"/>
          <w:right w:w="28" w:type="dxa"/>
        </w:tblCellMar>
      </w:tblPr>
      <w:tblGrid>
        <w:gridCol w:w="5266"/>
        <w:gridCol w:w="146"/>
        <w:gridCol w:w="453"/>
        <w:gridCol w:w="1227"/>
        <w:gridCol w:w="146"/>
        <w:gridCol w:w="146"/>
        <w:gridCol w:w="516"/>
        <w:gridCol w:w="1404"/>
        <w:gridCol w:w="3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associated with stock option exercises prior to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 xml:space="preserve">4. Debt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Customers Bank Credit Facility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2022, the Company entered into a loan and security agreement with Signature Bank, which was subsequently succeeded by Customers Bank, (the “Customers Loan Agreement”). Under various amendments to the Customers Loan Agreement, the Company issued the lender a warrant that was exercisable for up to 58,420 shares of Series B convertible preferred stock at an exercise price of $6.93 per share (the “Series B Warrant”) and a warrant that was exercisable for up to 20,375 shares of Series C convertible preferred stock at an exercise price of $10.74 per share (“Series C Warrant”). The number of shares exercisable under the Series B Warrant and Series C Warrant were subject to certain revenue and debt draw milestones. In connection with the close of the Company's IPO on July 24, 2025, all of the outstanding shares of convertible preferred stock were converted into common stock. As a result, the warrants to purchase convertible preferred stock became exercisable into shares of common stock. Refer to </w:t>
      </w:r>
      <w:r>
        <w:rPr>
          <w:rFonts w:ascii="Times New Roman" w:hAnsi="Times New Roman"/>
          <w:i/>
          <w:color w:val="000000"/>
          <w:sz w:val="20"/>
        </w:rPr>
        <w:t>Note 2</w:t>
      </w:r>
      <w:r>
        <w:rPr>
          <w:rFonts w:ascii="Times New Roman" w:hAnsi="Times New Roman"/>
          <w:color w:val="000000"/>
          <w:sz w:val="20"/>
        </w:rPr>
        <w:t xml:space="preserve"> for additional information regarding the reclassification of certain warrants from liability classified to equity classified during the year ended December 31, 2025 as well as the exercise of the Series B Warrant and Series C Warrant during the three months ended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29, 2025, the Company amended the Customers Loan Agreement (the “Fifth Amendment”) to expand the credit facility to include (i) a term loan in the principal amount of up to $50.0 million (the “Term Loan”), $17.5 million of which is contingent upon the achievement of requisite revenue milestones, and (ii) a $10.0 million non-formula revolving line of credit (the “Non-Formula Revolving Line”), provided that the aggregate borrowings under the Term Loan and the Non-Formula Revolving Line may not exceed $50.0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maturity date of the Term Loan was extended to October 15, 2030, with an interest-only period through October 15, 2027, followed by principal repayment over 36 months thereafter. Upon achievement of a certain revenue milestone, the interest-only period and repayment terms of the Term Loan may be extended through April 15, 2028 followed by principal repayment over 30 months, and upon achievement of an additional revenue milestone, may be further extended through October 15, 2028, followed by principal repayment over 24 months thereafter. The Non-Formula Revolving Line will mature on October 15, 2028. The applicable per annum interest rate did not change as a result of the Fifth Amendment and remains as the greater of (a) WSJ Prime Rate + 0.25% or (b) 5.25%, and resulted in a 7.00% interest rate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the Company amended the Customers Loan Agreement (the “Sixth Amendment”) to permit the Company to maintain certain limited deposit accounts outside of Customers Bank. No other terms of the Customers Loan Agreement were affected by the Sixth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Fifth and Sixth Amendments were accounted for as debt modifications with no gain or loss recognized. The carrying value of amounts outstanding under the Customers Loan Agreement approximates its fair value as of March 31, 2026. The fair value of the Term Loan is classified as a Level 2 measurement as it is based on observable market inputs, including interest rates charged for similar financial instruments with comparable terms and maturities.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$15.6 million of principal was outstanding under the Term Loan that will mature on October 15, 2030 and there were no borrowings outstanding under the Non-Formula Revolving Line. As of March 31, 2026, an aggregate $26.9 million remained available for borrowing under the Term Loan and the Non-Formula Revolving Line, net of amounts outstanding of $15.6 million. The Company was in compliance with all applicable Customers Loan Agreement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the Customers Loan Agreement was $0.3 million and $0.4 million for the three months ended March 31, 2026 and 2025, respectively. Of these amounts, less than $0.1 million and $0.1 million were related to amortization of the debt discount and issuance costs for the three months ended March 31, 2026 and 2025, respectively. The effective interest rate was 7.60%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contractual principal payments as of March 31, 2026:</w:t>
      </w:r>
    </w:p>
    <w:p>
      <w:pPr>
        <w:pStyle w:val="TextBody"/>
        <w:bidi w:val="0"/>
        <w:jc w:val="left"/>
        <w:rPr/>
      </w:pPr>
      <w:r>
        <w:rPr/>
        <w:t> </w:t>
      </w:r>
    </w:p>
    <w:tbl>
      <w:tblPr>
        <w:tblW w:w="4353" w:type="dxa"/>
        <w:jc w:val="left"/>
        <w:tblInd w:w="0" w:type="dxa"/>
        <w:tblLayout w:type="fixed"/>
        <w:tblCellMar>
          <w:top w:w="28" w:type="dxa"/>
          <w:left w:w="28" w:type="dxa"/>
          <w:bottom w:w="28" w:type="dxa"/>
          <w:right w:w="28" w:type="dxa"/>
        </w:tblCellMar>
      </w:tblPr>
      <w:tblGrid>
        <w:gridCol w:w="2686"/>
        <w:gridCol w:w="146"/>
        <w:gridCol w:w="264"/>
        <w:gridCol w:w="846"/>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5.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Company’s Amended and Restated Certificate of Incorporation dated July 24, 2025, the Company is authorized to issue two classes of capital stock—common stock and preferred stock. The Company shall have authority to issue 600,000,000 shares of common stock with par value of $0.00001 per share and 10,000,000 shares of preferred stock with par value of $0.00001 per share. As of March 31, 2026, the Company does not have any issued or outstanding shares of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reserved for future issuance as of March 31, 2026, consisted of the following:</w:t>
      </w:r>
    </w:p>
    <w:p>
      <w:pPr>
        <w:pStyle w:val="TextBody"/>
        <w:bidi w:val="0"/>
        <w:jc w:val="left"/>
        <w:rPr/>
      </w:pPr>
      <w:r>
        <w:rPr/>
        <w:t> </w:t>
      </w:r>
    </w:p>
    <w:tbl>
      <w:tblPr>
        <w:tblW w:w="9013" w:type="dxa"/>
        <w:jc w:val="left"/>
        <w:tblInd w:w="0" w:type="dxa"/>
        <w:tblLayout w:type="fixed"/>
        <w:tblCellMar>
          <w:top w:w="28" w:type="dxa"/>
          <w:left w:w="28" w:type="dxa"/>
          <w:bottom w:w="28" w:type="dxa"/>
          <w:right w:w="28" w:type="dxa"/>
        </w:tblCellMar>
      </w:tblPr>
      <w:tblGrid>
        <w:gridCol w:w="6796"/>
        <w:gridCol w:w="146"/>
        <w:gridCol w:w="227"/>
        <w:gridCol w:w="1453"/>
        <w:gridCol w:w="39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2,525,651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PSUs outstanding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2025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2025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7,035,519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(1) Performance stock units ("PSUs") are presented at the maximum 200% of target. Actual shares issued for PSUs may range from 0% to 200% of target based on achievement of applicable revenue performance and share price performance (see </w:t>
      </w:r>
      <w:r>
        <w:rPr>
          <w:rFonts w:ascii="Times New Roman" w:hAnsi="Times New Roman"/>
          <w:i/>
          <w:color w:val="000000"/>
          <w:sz w:val="16"/>
        </w:rPr>
        <w:t>Note 6</w:t>
      </w:r>
      <w:r>
        <w:rPr>
          <w:rFonts w:ascii="Times New Roman" w:hAnsi="Times New Roman"/>
          <w:color w:val="000000"/>
          <w:sz w:val="16"/>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SVB Common Stock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in connection with its entry into a loan and security agreement (the “SVB Loan Agreement”) with Silicon Valley Bank (“SVB”), the Company issued a warrant to purchase up to an aggregate of 10,338 shares of common stock at an exercise price of $0.34 per share (the “SVB Common Stock Warrant”). In July 2021, pursuant to the terms of the SVB Common Stock Warrant, the SVB Common Stock Warrant became exercisable for an additional 10,349 shares of common stock at an exercise price of $0.34 per share in connection with a principal draw. In February 2022, the Company amended the SVB Loan Agreement to draw additional principal and the SVB Common Stock Warrant became exercisable for an additional 5,176 shares of common stock at an exercise price of $0.40 per share. In December 2022, the Company terminated and repaid in full all amounts outstanding under the SVB Loan Agreement. On August 14, 2025, the Company issued 25,184 shares of common stock in conjunction with a net cashless exercise of the SVB Common Stock Warrant. As a result of the exercise, the SVB Common Stock Warrant is no longer outstanding.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6.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the Company adopted the Carlsmed, Inc. 2019 Stock Incentive Plan, which was subsequently amended, most recently in January 2025 (the “2019 Plan”). The 2019 Plan is administered by the Company’s board of directors (the “Board of Directors”). On July 10, 2025, the Board of Directors adopted, and the Company’s stockholders approved, the Carlsmed, Inc. 2025 Equity Incentive Plan (the “2025 Plan”), which became effective on July 21, 2025. The 2025 Plan replaced the 2019 Plan, as the Board of Directors determined to not make additional grants under the 2019 Plan following the closing of the IPO. However, the 2019 Plan will continue to govern outstanding equity awards granted under the 2019 Plan. The 2025 Plan allows the Company to grant incentive stock options, nonstatutory stock options, stock appreciation rights, restricted stock awards, restricted stock unit awards, performance awards and other awards. As of March 31, 2026, there were 2,291,352 remaining shares available for issuance pursuant to the 2025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price of a share subject to a stock option may not be less than the fair market value of a share of the Company’s common stock at the grant date. Stock options granted to employees typically vest over four years, with 25% vesting on the first anniversary of the grant date and the remainder vesting ratably on a quarterly basis thereafter, subject to continued employment, and a contractual term of 10 years; related expense is recognized in the accompanying statements of operations and comprehensive loss on a straight-line basis over each award’s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grants stock option awards to non-employees, including members of the Board of Directors. Options granted under the 2025 Plan and the 2019 Plan may be subject to vesting acceleration in connection with a “Change in Control” or “Corporate Transaction,” as defined in the respective plans.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2019 Plan allows for the exercise of certain stock option grants prior to vesting (“early exercise”), with such grants approved by the Board of Directors. For these awards, in the event of employee termination, the Company has the right, but not the obligation, to repurchase the portion of unvested stock at the </w:t>
      </w:r>
      <w:r>
        <w:rPr>
          <w:rFonts w:ascii="Times New Roman" w:hAnsi="Times New Roman"/>
          <w:i/>
          <w:color w:val="000000"/>
          <w:sz w:val="20"/>
        </w:rPr>
        <w:t>lower of</w:t>
      </w:r>
      <w:r>
        <w:rPr>
          <w:rFonts w:ascii="Times New Roman" w:hAnsi="Times New Roman"/>
          <w:color w:val="000000"/>
          <w:sz w:val="20"/>
        </w:rPr>
        <w:t xml:space="preserve"> the exercise price or the then-current fair value. A liability is recorded within “accrued liabilities” on the accompanying condensed balance sheets that is equal to the cash received for these early exercises, and this liability is reduced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vesting occurs. Unvested shares that have been early exercised are reflected in “common shares issued” but excluded from “common shares outstanding” on the accompanying condensed financial statements. As of March 31, 2026, 50,777 shares of early exercised stock options were outstanding, representing an early exercise liability of $0.1 million. As of December 31, 2025, 59,738 shares of early exercised stock options were outstanding, representing an early exercise liability of $0.1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granted typically have three-year vesting schedules and the related expense is recognized in the accompanying statements of operations and comprehensive loss on a straight-line basis over each award’s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PSUs granted vest based on the achievement of performance or market conditions, subject to continuous service through the applicable vesting date, and the related expense is recognized in the accompanying condensed statements of operations and comprehensive loss over each award's requisite service period. For awards with performance conditions, compensation cost is recognized for the level of achievement of the performance condition that is considered probable, while awards with market conditions, compensation cost is recognized regardless of whether the market condition is ultimately achieved.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stock option activity for the Company for the three months ended March 31, 2026:</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3541"/>
        <w:gridCol w:w="146"/>
        <w:gridCol w:w="146"/>
        <w:gridCol w:w="931"/>
        <w:gridCol w:w="166"/>
        <w:gridCol w:w="146"/>
        <w:gridCol w:w="214"/>
        <w:gridCol w:w="582"/>
        <w:gridCol w:w="146"/>
        <w:gridCol w:w="146"/>
        <w:gridCol w:w="285"/>
        <w:gridCol w:w="706"/>
        <w:gridCol w:w="146"/>
        <w:gridCol w:w="146"/>
        <w:gridCol w:w="267"/>
        <w:gridCol w:w="858"/>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options granted during the three months ended March 31, 2026 and 2025 was $6.23 and $2.12 per share, respectively. The total fair value of options that vested during the three months ended March 31, 2026 and 2025 was $0.6 million and $0.1 million, respectively, based on the grant date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 in the above table is calculated as the difference between the fair value of the Company’s common stock and the exercise price of the stock options. The aggregate intrinsic value of stock options exercised during the three months ended March 31, 2026 and 2025 was $6.5 million and $1.7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stock options of $0.6 million and $0.2 million for the three months ended March 31, 2026 and 2025, respectively. As of March 31, 2026, there was $7.6 million of unrecognized compensation for unvested stock options and the weighted-average period over which this remaining compensation cost will be recognized is 2.8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 date fair value of the options is determined using an option pricing model. The assumptions that were used in estimating the grant date fair value of stock options under the option pricing method for the three months ended March 31, 2026 and 2025 were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2941"/>
        <w:gridCol w:w="146"/>
        <w:gridCol w:w="213"/>
        <w:gridCol w:w="681"/>
        <w:gridCol w:w="396"/>
        <w:gridCol w:w="213"/>
        <w:gridCol w:w="213"/>
        <w:gridCol w:w="681"/>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stock price volatility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annual dividend yield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 (years)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Based on the median stock price volatility for peer public companies over a historic timeframe similar to the expected term, with adjustments for differences in size and capital structure.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the U.S. Treasury yield curve in effect as of the valuation date.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Company has not paid and does not currently anticipate paying a cash dividend on its common stock.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expected term of stock options granted to employees represents the weighted average period the stock options are expected to be outstanding. The Company uses the simplified method for estimating the expected term, which calculates the expected term as the average time-to-vesting and the contractual life of the options for stock options issued to employees and non-employees.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have any RSUs granted or outstanding during the three months ended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RSU activity for the Company for the three months ended March 31, 2026:</w:t>
      </w:r>
    </w:p>
    <w:p>
      <w:pPr>
        <w:pStyle w:val="TextBody"/>
        <w:bidi w:val="0"/>
        <w:jc w:val="left"/>
        <w:rPr/>
      </w:pPr>
      <w:r>
        <w:rPr/>
        <w:t> </w:t>
      </w:r>
    </w:p>
    <w:tbl>
      <w:tblPr>
        <w:tblW w:w="7617" w:type="dxa"/>
        <w:jc w:val="left"/>
        <w:tblInd w:w="0" w:type="dxa"/>
        <w:tblLayout w:type="fixed"/>
        <w:tblCellMar>
          <w:top w:w="28" w:type="dxa"/>
          <w:left w:w="28" w:type="dxa"/>
          <w:bottom w:w="28" w:type="dxa"/>
          <w:right w:w="28" w:type="dxa"/>
        </w:tblCellMar>
      </w:tblPr>
      <w:tblGrid>
        <w:gridCol w:w="2776"/>
        <w:gridCol w:w="146"/>
        <w:gridCol w:w="146"/>
        <w:gridCol w:w="781"/>
        <w:gridCol w:w="166"/>
        <w:gridCol w:w="146"/>
        <w:gridCol w:w="851"/>
        <w:gridCol w:w="2314"/>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RSUs of $0.7 million for the three months ended March 31, 2026. As of March 31, 2026, there was $10.7 million of unrecognized compensation for unvested RSUs, and the weighted-average period over which this remaining compensation cost will be recognized is 2.8 years.</w:t>
      </w:r>
    </w:p>
    <w:p>
      <w:pPr>
        <w:pStyle w:val="TextBody"/>
        <w:bidi w:val="0"/>
        <w:spacing w:before="360" w:after="283"/>
        <w:jc w:val="left"/>
        <w:rPr>
          <w:rFonts w:ascii="Times New Roman" w:hAnsi="Times New Roman"/>
          <w:sz w:val="20"/>
        </w:rPr>
      </w:pPr>
      <w:r>
        <w:rPr>
          <w:rFonts w:ascii="Times New Roman" w:hAnsi="Times New Roman"/>
          <w:b/>
          <w:i/>
          <w:color w:val="000000"/>
          <w:sz w:val="20"/>
        </w:rPr>
        <w:t>Performance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granted 112,478 PSUs to an employee that have a contractual term of four years and vest upon the satisfaction of performance, market, and service conditions. The performance conditions required either (1) the completion of an initial public offering where the Company’s stock is listed on an established stock exchange or (2) the occurrence of a corporate transaction, such as a merger, acquisition, or similar liquidity event. The market condition is based on the achievement of share price targets following the completion of an initial public offering or on the date of a corporate transaction. The service condition requires the employee to provide continued service through the achievement of both the performance and market conditions. The grant date fair value of such PSUs was determined using a Monte Carlo simulation methodology, which takes into consideration the probability of achievement of the market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 for the PSUs began on the grant date and is recognized over the derived requisite service period of the award. However, no compensation expense was recognized until the performance-based vesting condition was probable of being achieved. Accordingly, no compensation expense was recognized during the three months ended March 31, 2025 as the performance condition was not probable of being achieved. On July 24, 2025, the Company completed its IPO, satisfying the performance condition of the PSUs. Consequently, compensation expense has been recognized proportionally for the completed portion of the requisite service period up to the IPO. The remaining unrecognized expense will be amortized over the remaining derived requisite service period associated with the market condition, regardless of whether the market condition is ultimately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granted PSUs under the 2025 Plan that vest based on the achievement of performance or market conditions, subject to continued service through the applicable vesting date. The PSUs are comprised of (i) Revenue-Based PSUs, which vest based on the achievement of specified annual revenue targets and continued service through January 1, 2028, and (ii) TSR-Based PSUs, which vest based on the Company’s total shareholder return relative to the S&amp;P Healthcare Equipment Select Industry Index over a three-year performance period ending December 31, 2028, with continued service required through January 1, 2029. Payouts for both the Revenue-Based PSUs and TSR-Based PSUs range from 0% to 200% of target depending on achievement of the applicable vesting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grant-date fair value of the Revenue-Based PSUs is based on the underlying stock price on the grant date. The grant-date fair value of the TSR-Based PSUs was determined using a Monte Carlo simulation and was determined based on significant inputs not observable in the market, which represents a “Level 3” measurement within the fair value hierarchy. The significant inputs are listed below:</w:t>
      </w:r>
    </w:p>
    <w:p>
      <w:pPr>
        <w:pStyle w:val="TextBody"/>
        <w:bidi w:val="0"/>
        <w:jc w:val="left"/>
        <w:rPr/>
      </w:pPr>
      <w:r>
        <w:rPr/>
        <w:t> </w:t>
      </w:r>
    </w:p>
    <w:tbl>
      <w:tblPr>
        <w:tblW w:w="6749" w:type="dxa"/>
        <w:jc w:val="left"/>
        <w:tblInd w:w="0" w:type="dxa"/>
        <w:tblLayout w:type="fixed"/>
        <w:tblCellMar>
          <w:top w:w="28" w:type="dxa"/>
          <w:left w:w="28" w:type="dxa"/>
          <w:bottom w:w="28" w:type="dxa"/>
          <w:right w:w="28" w:type="dxa"/>
        </w:tblCellMar>
      </w:tblPr>
      <w:tblGrid>
        <w:gridCol w:w="5461"/>
        <w:gridCol w:w="146"/>
        <w:gridCol w:w="222"/>
        <w:gridCol w:w="604"/>
        <w:gridCol w:w="316"/>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TSR-Based PSUs Granted January 2026 - Monte Carlo Simulation Model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 on grant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Expetected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volatility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PSU activity for the Company for the three months ended March 31, 2026:</w:t>
      </w:r>
    </w:p>
    <w:p>
      <w:pPr>
        <w:pStyle w:val="TextBody"/>
        <w:bidi w:val="0"/>
        <w:jc w:val="left"/>
        <w:rPr/>
      </w:pPr>
      <w:r>
        <w:rPr/>
        <w:t> </w:t>
      </w:r>
    </w:p>
    <w:tbl>
      <w:tblPr>
        <w:tblW w:w="7597" w:type="dxa"/>
        <w:jc w:val="left"/>
        <w:tblInd w:w="0" w:type="dxa"/>
        <w:tblLayout w:type="fixed"/>
        <w:tblCellMar>
          <w:top w:w="28" w:type="dxa"/>
          <w:left w:w="28" w:type="dxa"/>
          <w:bottom w:w="28" w:type="dxa"/>
          <w:right w:w="28" w:type="dxa"/>
        </w:tblCellMar>
      </w:tblPr>
      <w:tblGrid>
        <w:gridCol w:w="2776"/>
        <w:gridCol w:w="146"/>
        <w:gridCol w:w="146"/>
        <w:gridCol w:w="781"/>
        <w:gridCol w:w="146"/>
        <w:gridCol w:w="146"/>
        <w:gridCol w:w="851"/>
        <w:gridCol w:w="2314"/>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PSUs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PSUs are presented at the maximum 200% of target. Actual shares issued for PSUs may range from 0% to 200% of target based on achievement of applicable performance and market conditions.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stock-based compensation expense for PSUs of $0.3 million for the three months ended March 31, 2026. As of March 31, 2026, there was $4.2 million of unrecognized compensation for unvested PSUs, and the weighted-average period over which this remaining compensation cost will be recognized is 2.3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cost that has been included in the Company’s condensed statements of operations and comprehensive loss for all stock-based compensation arrangements is detailed as follows:</w:t>
      </w:r>
    </w:p>
    <w:p>
      <w:pPr>
        <w:pStyle w:val="TextBody"/>
        <w:bidi w:val="0"/>
        <w:jc w:val="left"/>
        <w:rPr/>
      </w:pPr>
      <w:r>
        <w:rPr/>
        <w:t> </w:t>
      </w:r>
    </w:p>
    <w:tbl>
      <w:tblPr>
        <w:tblW w:w="5245" w:type="dxa"/>
        <w:jc w:val="left"/>
        <w:tblInd w:w="0" w:type="dxa"/>
        <w:tblLayout w:type="fixed"/>
        <w:tblCellMar>
          <w:top w:w="28" w:type="dxa"/>
          <w:left w:w="28" w:type="dxa"/>
          <w:bottom w:w="28" w:type="dxa"/>
          <w:right w:w="28" w:type="dxa"/>
        </w:tblCellMar>
      </w:tblPr>
      <w:tblGrid>
        <w:gridCol w:w="2311"/>
        <w:gridCol w:w="146"/>
        <w:gridCol w:w="296"/>
        <w:gridCol w:w="803"/>
        <w:gridCol w:w="205"/>
        <w:gridCol w:w="205"/>
        <w:gridCol w:w="296"/>
        <w:gridCol w:w="592"/>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160" w:after="283"/>
        <w:jc w:val="left"/>
        <w:rPr>
          <w:rFonts w:ascii="Times New Roman" w:hAnsi="Times New Roman"/>
          <w:color w:val="000000"/>
          <w:sz w:val="20"/>
        </w:rPr>
      </w:pPr>
      <w:r>
        <w:rPr>
          <w:rFonts w:ascii="Times New Roman" w:hAnsi="Times New Roman"/>
          <w:color w:val="000000"/>
          <w:sz w:val="20"/>
        </w:rPr>
        <w:t>7.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Company issued a total of 1,117,743 shares of Series C convertible preferred stock at a price of $10.74 per share for gross cash proceeds of $12.0 million. The January 2025 issuance of Series 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convertible preferred stock was completed below the fair value of the shares as of the issuance date. The Company recorded the excess of fair value over the issuance price as a “deemed dividend” within additional paid-in-capital (“APIC”) in the amount of $0.6 million. The deemed dividend reflects the distribution of value from common stockholders to preferred stockholders due to the implicit discount on these shares issued in January 2025. Since the Company remained in an accumulated deficit position at the issuance date, this deemed dividend was recorded directly to APIC rather than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closed the IPO on July 24, 2025 and all of the outstanding shares of convertible preferred stock were converted into 15,245,731 shares of common stock.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8. Net Loss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calculated by </w:t>
      </w:r>
      <w:r>
        <w:rPr>
          <w:rFonts w:ascii="Times New Roman" w:hAnsi="Times New Roman"/>
          <w:i/>
          <w:color w:val="000000"/>
          <w:sz w:val="20"/>
        </w:rPr>
        <w:t>dividing</w:t>
      </w:r>
      <w:r>
        <w:rPr>
          <w:rFonts w:ascii="Times New Roman" w:hAnsi="Times New Roman"/>
          <w:color w:val="000000"/>
          <w:sz w:val="20"/>
        </w:rPr>
        <w:t xml:space="preserve"> net loss attributable to common stockholders by the weighted-average number of shares of common stock outstanding, net of the weighted-average unvested restricted stock subject to repurchase by the Company, if any, during the period. Diluted loss per share is calculated by </w:t>
      </w:r>
      <w:r>
        <w:rPr>
          <w:rFonts w:ascii="Times New Roman" w:hAnsi="Times New Roman"/>
          <w:i/>
          <w:color w:val="000000"/>
          <w:sz w:val="20"/>
        </w:rPr>
        <w:t>dividing</w:t>
      </w:r>
      <w:r>
        <w:rPr>
          <w:rFonts w:ascii="Times New Roman" w:hAnsi="Times New Roman"/>
          <w:color w:val="000000"/>
          <w:sz w:val="20"/>
        </w:rPr>
        <w:t xml:space="preserve"> the net loss attributable to common stockholders by the weighted-average number of common shares outstanding, adjusted for the effects of potentially dilutive common stock, which are comprised of stock options and stock warrants, using the “treasury-stock method,” and convertible preferred stock, using the “if-converted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Company reported net losses for the period presented, all potentially dilutive common stock is antidilutive for this period and therefore basic and diluted net loss per common share are the same. The convertible preferred stock are considered participating securities; however, they were excluded from the computation of basic loss per share in the periods of net loss as there is no contractual obligation for the holders to share in the losses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number of anti-dilutive shares excluded from the calculation of diluted net loss per share as of March 31, 2026 and 2025:</w:t>
      </w:r>
    </w:p>
    <w:p>
      <w:pPr>
        <w:pStyle w:val="TextBody"/>
        <w:bidi w:val="0"/>
        <w:jc w:val="left"/>
        <w:rPr/>
      </w:pPr>
      <w:r>
        <w:rPr/>
        <w:t> </w:t>
      </w:r>
    </w:p>
    <w:tbl>
      <w:tblPr>
        <w:tblW w:w="7904" w:type="dxa"/>
        <w:jc w:val="left"/>
        <w:tblInd w:w="0" w:type="dxa"/>
        <w:tblLayout w:type="fixed"/>
        <w:tblCellMar>
          <w:top w:w="28" w:type="dxa"/>
          <w:left w:w="28" w:type="dxa"/>
          <w:bottom w:w="28" w:type="dxa"/>
          <w:right w:w="28" w:type="dxa"/>
        </w:tblCellMar>
      </w:tblPr>
      <w:tblGrid>
        <w:gridCol w:w="4816"/>
        <w:gridCol w:w="146"/>
        <w:gridCol w:w="146"/>
        <w:gridCol w:w="931"/>
        <w:gridCol w:w="146"/>
        <w:gridCol w:w="146"/>
        <w:gridCol w:w="146"/>
        <w:gridCol w:w="1036"/>
        <w:gridCol w:w="3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Common stock options outstanding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Convertible preferred stock (common stock equivalent)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RSUs outstanding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PSUs outstanding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Series B Warrant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Series C Warrant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SVB Common Stock Warrant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17,619,379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sz w:val="20"/>
        </w:rPr>
      </w:pPr>
      <w:r>
        <w:rPr>
          <w:rFonts w:ascii="Times New Roman" w:hAnsi="Times New Roman"/>
          <w:color w:val="000000"/>
          <w:sz w:val="16"/>
        </w:rPr>
        <w:t>800,234</w:t>
      </w:r>
      <w:r>
        <w:rPr>
          <w:rFonts w:ascii="Times New Roman" w:hAnsi="Times New Roman"/>
          <w:color w:val="000000"/>
          <w:sz w:val="20"/>
        </w:rPr>
        <w:t xml:space="preserve"> </w:t>
      </w:r>
      <w:r>
        <w:rPr>
          <w:rFonts w:ascii="Times New Roman" w:hAnsi="Times New Roman"/>
          <w:color w:val="000000"/>
          <w:sz w:val="16"/>
        </w:rPr>
        <w:t>stock options vested and exercisable as of March 31,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Convertible preferred stock was eligible to convert to common stock on a 1:1 basis upon the holder’s election or upon a Deemed Liquidation Event. Convertible preferred stock was converted into common stock on the IPO (see </w:t>
      </w:r>
      <w:r>
        <w:rPr>
          <w:rFonts w:ascii="Times New Roman" w:hAnsi="Times New Roman"/>
          <w:i/>
          <w:color w:val="000000"/>
          <w:sz w:val="16"/>
        </w:rPr>
        <w:t>Note 7</w:t>
      </w:r>
      <w:r>
        <w:rPr>
          <w:rFonts w:ascii="Times New Roman" w:hAnsi="Times New Roman"/>
          <w:color w:val="000000"/>
          <w:sz w:val="16"/>
        </w:rPr>
        <w: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No RSUs are vested as of March 31, 2026.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No PSUs are vested as of March 31, 2026. PSUs are presented at the maximum 200% of target. Actual shares issued for PSUs may range from 0% to 200% of target based on achievement of applicable performance and market conditions (see Note 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On March 4, 2026, the Series B and Series C Warrant were exercised (see </w:t>
      </w:r>
      <w:r>
        <w:rPr>
          <w:rFonts w:ascii="Times New Roman" w:hAnsi="Times New Roman"/>
          <w:i/>
          <w:color w:val="000000"/>
          <w:sz w:val="16"/>
        </w:rPr>
        <w:t>Note 2</w:t>
      </w:r>
      <w:r>
        <w:rPr>
          <w:rFonts w:ascii="Times New Roman" w:hAnsi="Times New Roman"/>
          <w:color w:val="000000"/>
          <w:sz w:val="16"/>
        </w:rPr>
        <w: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sz w:val="20"/>
        </w:rPr>
      </w:pPr>
      <w:r>
        <w:rPr>
          <w:rFonts w:ascii="Times New Roman" w:hAnsi="Times New Roman"/>
          <w:color w:val="000000"/>
          <w:sz w:val="16"/>
        </w:rPr>
        <w:t xml:space="preserve">On August 14, 2025, the SVB Common Stock Warrant was exercised (see </w:t>
      </w:r>
      <w:r>
        <w:rPr>
          <w:rFonts w:ascii="Times New Roman" w:hAnsi="Times New Roman"/>
          <w:i/>
          <w:color w:val="000000"/>
          <w:sz w:val="16"/>
        </w:rPr>
        <w:t>Note 5</w:t>
      </w:r>
      <w:r>
        <w:rPr>
          <w:rFonts w:ascii="Times New Roman" w:hAnsi="Times New Roman"/>
          <w:color w:val="000000"/>
          <w:sz w:val="16"/>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9.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is involved in legal matters incidental to the conduct of its business. In the opinion of management, there are no claims outstanding that would have a material adverse effect on the Company’s financial position, results of operations,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lease agreements with unaffiliated third parties for its facilities and office equipment. As of March 31, 2026, the Company had two active operating leases for a combined 23,000 square feet of administrative, engineering, and research and development space located in Carlsbad, California.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lease encompasses 16,000 square feet and commenced on May 1, 2021, and was originally set to expire on April 30, 2024. On December 4, 2023, the Company entered into a first amendment to the original lease agreement which resulted in the lease term extending to June 30, 2028. The Company used its incremental borrowing rate at the lease modification date of 9.08% in determining the discount rate utilized to present value the future minimum lease payments since an implicit interest rate in the lease agreement was not determinable.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15, 2025, the Company entered into a second amendment to its original lease agreement, which modified the lease terms to lease an additional suite comprising an additional 7,000 square feet of space with an expiration date of June 30, 2028. The May 2025 lease modification was accounted for as a separate contract. The Company used its incremental borrowing rate at the lease modification date of 7.62% in determining the discount rate utilized to present value the future minimum lease payments since an implicit interest rate in the lease agreement was not determinable. This lease was further amended in April 2026 will provide an additional net 18,000 square feet and extended the lease term to June 30,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lease expenses for the three months ended March 31, 2026 and 2025 were $0.2 million and $0.1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real estate taxes, insurance costs, and common area maintenance, are included in monthly rent and not separately itemized. Rent expense is allocated to cost of sales, research and development, sales and marketing, and general and administrative expenses in the accompanying condensed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lease terms and discount rates are as follows: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31"/>
        <w:gridCol w:w="146"/>
        <w:gridCol w:w="401"/>
        <w:gridCol w:w="1279"/>
        <w:gridCol w:w="271"/>
        <w:gridCol w:w="146"/>
        <w:gridCol w:w="458"/>
        <w:gridCol w:w="1462"/>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future minimum lease payments under this lease as of March 31, 2026, are as follows:</w:t>
      </w:r>
    </w:p>
    <w:p>
      <w:pPr>
        <w:pStyle w:val="TextBody"/>
        <w:bidi w:val="0"/>
        <w:jc w:val="left"/>
        <w:rPr/>
      </w:pPr>
      <w:r>
        <w:rPr/>
        <w:t> </w:t>
      </w:r>
    </w:p>
    <w:tbl>
      <w:tblPr>
        <w:tblW w:w="4559" w:type="dxa"/>
        <w:jc w:val="left"/>
        <w:tblInd w:w="0" w:type="dxa"/>
        <w:tblLayout w:type="fixed"/>
        <w:tblCellMar>
          <w:top w:w="28" w:type="dxa"/>
          <w:left w:w="28" w:type="dxa"/>
          <w:bottom w:w="28" w:type="dxa"/>
          <w:right w:w="28" w:type="dxa"/>
        </w:tblCellMar>
      </w:tblPr>
      <w:tblGrid>
        <w:gridCol w:w="3211"/>
        <w:gridCol w:w="146"/>
        <w:gridCol w:w="218"/>
        <w:gridCol w:w="593"/>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operating cash outflows included in the measurement of the operating lease liabilities was $0.2 million and $0.1 million for the three months ended March 31,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10.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the Company’s single reportable segment. It includes the significant expense categories regularly provided to the Company’s "chief operating decision maker", its Chief Executive Officer, computed under GAAP and reconciled to the Company’s total “net loss” as presented in the Condensed Statements of Operations and Comprehensive Loss:</w:t>
      </w:r>
    </w:p>
    <w:p>
      <w:pPr>
        <w:pStyle w:val="TextBody"/>
        <w:bidi w:val="0"/>
        <w:jc w:val="left"/>
        <w:rPr/>
      </w:pPr>
      <w:r>
        <w:rPr/>
        <w:t> </w:t>
      </w:r>
    </w:p>
    <w:tbl>
      <w:tblPr>
        <w:tblW w:w="6327" w:type="dxa"/>
        <w:jc w:val="left"/>
        <w:tblInd w:w="0" w:type="dxa"/>
        <w:tblLayout w:type="fixed"/>
        <w:tblCellMar>
          <w:top w:w="28" w:type="dxa"/>
          <w:left w:w="28" w:type="dxa"/>
          <w:bottom w:w="28" w:type="dxa"/>
          <w:right w:w="28" w:type="dxa"/>
        </w:tblCellMar>
      </w:tblPr>
      <w:tblGrid>
        <w:gridCol w:w="3571"/>
        <w:gridCol w:w="146"/>
        <w:gridCol w:w="242"/>
        <w:gridCol w:w="778"/>
        <w:gridCol w:w="191"/>
        <w:gridCol w:w="168"/>
        <w:gridCol w:w="242"/>
        <w:gridCol w:w="778"/>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medical, and regulatory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Other segment expenses primarily include corporate, compliance, and research and development support expenses.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quarterly provisions for income taxes, the Company uses the annual estimated effective tax rate applied to the actual year-to-date income (loss), adjusted for discrete items, if any, that are taken into account in the relevant period. The Company’s annual estimated effective tax rate differs from the statutory rate primarily as a result of state taxes and changes in the Company’s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record income tax expense for the three months ended March 31, 2026 and 2025. The Company maintains a full valuation allowance on its net deferred tax assets, as it is more likely-than-not that it will not be monetized through offsetting future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material changes to the Company’s unrecognized tax benefits in the three months ended March 31, 2026 and 2025. The Company did not have any interest or penalties related to its uncertain tax positions for the three months ended March 31, 2026 and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120"/>
        <w:jc w:val="left"/>
        <w:rPr>
          <w:rFonts w:ascii="Times New Roman" w:hAnsi="Times New Roman"/>
          <w:color w:val="000000"/>
          <w:sz w:val="20"/>
        </w:rPr>
      </w:pPr>
      <w:bookmarkStart w:id="9" w:name="managements_discussion_and_analysis"/>
      <w:bookmarkEnd w:id="9"/>
      <w:r>
        <w:rPr>
          <w:rFonts w:ascii="Times New Roman" w:hAnsi="Times New Roman"/>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The following discussion and analysis provides information that we believe is relevant to an assessment and understanding of our results of operations and financial condition. You should read this discussion and analysis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2025 included in our Annual Report on Form 10-K. Unless the context otherwise requires, references to “Carlsmed,</w:t>
      </w:r>
      <w:r>
        <w:rPr>
          <w:rFonts w:ascii="Times New Roman" w:hAnsi="Times New Roman"/>
          <w:color w:val="000000"/>
          <w:sz w:val="20"/>
        </w:rPr>
        <w:t xml:space="preserve">” </w:t>
      </w:r>
      <w:r>
        <w:rPr>
          <w:rFonts w:ascii="Times New Roman" w:hAnsi="Times New Roman"/>
          <w:i/>
          <w:color w:val="000000"/>
          <w:sz w:val="20"/>
        </w:rPr>
        <w:t>the “Company,</w:t>
      </w:r>
      <w:r>
        <w:rPr>
          <w:rFonts w:ascii="Times New Roman" w:hAnsi="Times New Roman"/>
          <w:color w:val="000000"/>
          <w:sz w:val="20"/>
        </w:rPr>
        <w:t>” “</w:t>
      </w:r>
      <w:r>
        <w:rPr>
          <w:rFonts w:ascii="Times New Roman" w:hAnsi="Times New Roman"/>
          <w:i/>
          <w:color w:val="000000"/>
          <w:sz w:val="20"/>
        </w:rPr>
        <w:t>we,</w:t>
      </w:r>
      <w:r>
        <w:rPr>
          <w:rFonts w:ascii="Times New Roman" w:hAnsi="Times New Roman"/>
          <w:color w:val="000000"/>
          <w:sz w:val="20"/>
        </w:rPr>
        <w:t>” “</w:t>
      </w:r>
      <w:r>
        <w:rPr>
          <w:rFonts w:ascii="Times New Roman" w:hAnsi="Times New Roman"/>
          <w:i/>
          <w:color w:val="000000"/>
          <w:sz w:val="20"/>
        </w:rPr>
        <w:t>us,</w:t>
      </w:r>
      <w:r>
        <w:rPr>
          <w:rFonts w:ascii="Times New Roman" w:hAnsi="Times New Roman"/>
          <w:color w:val="000000"/>
          <w:sz w:val="20"/>
        </w:rPr>
        <w:t xml:space="preserve">” </w:t>
      </w:r>
      <w:r>
        <w:rPr>
          <w:rFonts w:ascii="Times New Roman" w:hAnsi="Times New Roman"/>
          <w:i/>
          <w:color w:val="000000"/>
          <w:sz w:val="20"/>
        </w:rPr>
        <w:t>and “our</w:t>
      </w:r>
      <w:r>
        <w:rPr>
          <w:rFonts w:ascii="Times New Roman" w:hAnsi="Times New Roman"/>
          <w:color w:val="000000"/>
          <w:sz w:val="20"/>
        </w:rPr>
        <w:t xml:space="preserve">” </w:t>
      </w:r>
      <w:r>
        <w:rPr>
          <w:rFonts w:ascii="Times New Roman" w:hAnsi="Times New Roman"/>
          <w:i/>
          <w:color w:val="000000"/>
          <w:sz w:val="20"/>
        </w:rPr>
        <w:t>refer to Carlsmed, Inc., a Delaware corporation.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the Annual Report on Form 10-K. See the section titled “Special Note Regarding Forward-Looking Statements.” Our historical results are not necessarily indicative of the results that may be expected for any period in the future.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Company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medical technology company pioneering AI-enabled personalized spine surgery solutions with a mission to improve outcomes and decrease the cost of healthcare for spine surgery and beyond.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powered by AI-enabled, outcome-based algorithms that provide personalized surgical plans for spine fusion. The surgical kit delivered to customers includes aprevo interbody implants for a custom vertebral fit for each patient’s unique pathology and vertebral bone topography, and single-use surgical instruments. The aprevo Technology Platform supports surgeons in achieving proper spinal alignment as they seek to improve surgical outcomes for patients with degenerative disc disease (“DDD”), including spinal deformity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market the aprevo Technology Platform to surgeons, hospitals and ambulatory surgical centers in the United States through a combination of our direct sales team and independent sales agents. Our direct sales team consists of Area Vice Presidents, Sales Directors, Account Managers, and Strategic and National Account leadership, who are primarily responsible for promoting our platform to surgeons, supporting digital file exchange and other connectivity between our Company and hospitals, and working with customers to secure required approvals for our products. Our direct sales team is also responsible for recruiting independent sales agents who cover each aprevo surgery in the operating room.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commercializing the aprevo Technology Platform in 2021, we have experienced sequential quarterly and annual revenue growth from its rapid commercial adoption. For the three months ended March 31, 2026 and 2025, we recognized revenue of $16.1 million and $10.2 million, respectively, representing period-over-period growth of 58.2%.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model depends on our ability to timely deliver the aprevo Technology Platform to allow surgeons to maintain surgical schedules for their patients. In November 2024, we launched our enhanced digital production system (“DPS”) that enabled a reduction in our manufacturing time of 10 business days from surgeons' approvals of the digital surgical plans. Beginning in February 2026, this lead time was further reduced to six business days. Our medical devices are manufactured to our specifications by contract manufacturing organizations (“CMOs”) who meet our manufacturer qualification standards.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24, 2025, we completed our initial public offering of 6,700,000 shares of our common stock, at a price to the public of $15.00 per share (the “IPO”). We received net proceeds of $93.5 million from the IPO, after deducting underwriting discounts and commissions and before additional offering expenses of $5.4 million paid by us.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Overview</w:t>
      </w:r>
    </w:p>
    <w:p>
      <w:pPr>
        <w:pStyle w:val="TextBody"/>
        <w:bidi w:val="0"/>
        <w:spacing w:before="120" w:after="160"/>
        <w:jc w:val="left"/>
        <w:rPr>
          <w:rFonts w:ascii="Times New Roman" w:hAnsi="Times New Roman"/>
          <w:sz w:val="20"/>
        </w:rPr>
      </w:pPr>
      <w:r>
        <w:rPr>
          <w:rFonts w:ascii="Times New Roman" w:hAnsi="Times New Roman"/>
          <w:b/>
          <w:i/>
          <w:color w:val="000000"/>
          <w:sz w:val="20"/>
        </w:rPr>
        <w:t>aprevo Lumbar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July 2020, the U.S. Food and Drug Administration (“FDA”) awarded us a Breakthrough Device Designation, indicating that aprevo lumbar interbody implants are likely to provide a more effective treatment than the use of stock implants. In December 2020, the FDA, through its 510(k) regulatory clearance pathway, cleared our aprevo interbody implants for lumbar fusions to correct adult spinal deformity (“ASD”). After FDA clearance, we commenced the limited clinical release of the aprevo Technology Platform, with the first U.S. aprevo patient procedure completed in February 2021. In August 2022, the FDA, through its 510(k) regulatory clearance pathway, cleared the aprevo Technology Platform for the treatment of patients with several degenerative conditions of the lumbar spine.</w:t>
      </w:r>
    </w:p>
    <w:p>
      <w:pPr>
        <w:pStyle w:val="TextBody"/>
        <w:bidi w:val="0"/>
        <w:jc w:val="left"/>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aprevo Cervical</w:t>
      </w:r>
    </w:p>
    <w:p>
      <w:pPr>
        <w:pStyle w:val="TextBody"/>
        <w:bidi w:val="0"/>
        <w:jc w:val="left"/>
        <w:rPr>
          <w:rFonts w:ascii="Times New Roman" w:hAnsi="Times New Roman"/>
          <w:color w:val="000000"/>
          <w:sz w:val="20"/>
        </w:rPr>
      </w:pPr>
      <w:r>
        <w:rPr>
          <w:rFonts w:ascii="Times New Roman" w:hAnsi="Times New Roman"/>
          <w:color w:val="000000"/>
          <w:sz w:val="20"/>
        </w:rPr>
        <w:t>In September 2023, the FDA granted us a Breakthrough Device Designation for aprevo in cervical spine fusion. In November 2024, we received FDA 510(k) clearance for our aprevo Technology Platform for cervical spine fusion surgery. In July 2025, the first aprevo cervical procedure was successfully completed at UC San Diego Health and we commercially launched aprevo Cervical in December 2025.</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Key Factors Affecting Our Results of Operations and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Our financial performance has been driven by the following key factors that we believe will persist for the foreseeable future. While each of these factors presents significant opportunities for our business, they also pose important challenges that we must successfully address in order to sustain our growth. Our ability to successfully address the factors below is subject to various risks and uncertainties.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Adoption and Clinical Evidence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full commercial launch in October 2021, the aprevo Technology Platform for spine fusion surgery has been used to treat more than 3,700 patients through March 31, 2026. We estimate there are approximately 4,000 spine surgeons across the United States whose patients could benefit from using our platform. As of March 31, 2026, we had an increase of over 60% of trained surgeon users on the aprevo Technology Platform that have completed one or more aprevo procedures as compared to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time, we expect to meaningfully grow the base of surgeons using the aprevo Technology Platform and its penetration with existing surgeon users. To achieve this, we plan to grow our commercial infrastructure and expand various sales and marketing initiatives, including supporting medical education programs, surgeon fellowships, and surgeon training at top academic institutions.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committed to building upon our strong foundation of clinical evidence demonstrating the efficacy of our aprevo Technology Platform. Clinical data publications are important tools for surgeon education and patient awareness of the potential significant benefits of our personalized solution as compared to stock implants.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COMPASS Registry is generating ongoing real-world evidence of patient outcomes from lumbar spine surgery with the aprevo Technology Platform. For example, a study on 90 COMPASS patients with DDD published at the 2025 Congress of Neurological Surgeons meeting demonstrated that aprevo significantly improved restoration of distal lumbar lordosis with zero revision surgeries for adjacent segment disease at 20-month median follow-up.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w:t>
      </w:r>
      <w:r>
        <w:rPr>
          <w:rFonts w:ascii="Times New Roman" w:hAnsi="Times New Roman"/>
          <w:i/>
          <w:color w:val="000000"/>
          <w:sz w:val="20"/>
        </w:rPr>
        <w:t>Global Spine Journal</w:t>
      </w:r>
      <w:r>
        <w:rPr>
          <w:rFonts w:ascii="Times New Roman" w:hAnsi="Times New Roman"/>
          <w:color w:val="000000"/>
          <w:sz w:val="20"/>
        </w:rPr>
        <w:t xml:space="preserve"> published peer-reviewed two-year follow-up data on a retrospective cohort of ASD patients treated with aprevo, demonstrating a 74% reduced rate of mechanical complication–related reoperations compared to patients who had been treated using stock implants.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Expansion of Our Product Portfolio and Investments in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initiatives are focused on introducing new products, enhancements and capabilities aimed at increasing the value provided by our aprevo Technology Platform to patients, surgeons, and payors. We are developing new iterations of our algorithm and software platform to drive further improvements in surgical planning and in turn help surgeons to make more informed decisions to best treat their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we received FDA 510(k) clearance for our aprevo interbody implants for cervical spine fusion surgery as part of the FDA-cleared aprevo Technology Platform and commenced commercialization in December 2025. Also in December 2025, we received FDA 510(k) clearance for our accompanying personalized cervical plating solutions as part of the aprevo cervical platform. In February 2026, we completed the first personalized plating procedure using the corra Cervical Plating System at the University of California San Francisco and are planning for its full commercial launch by December 2026. We expect to drive adoption of the aprevo cervical indication with our existing base of surgeons who are actively using the aprevo Technology Platform for lumbar spine fusion surgeries.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as part of a limited market evaluation, we announced the successful completion of the first aprevo bi-lateral posterior lumbar spine surgery procedure at the University of Colorado Hospital in Denver, Colorado. The addition of aprevo bi-lateral expands our lumbar offering across multiple spinal fusion techniques and integrates seamlessly with our broader aprevo platform technology. The full commercial launch of aprevo bi-lateral is planned for the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believe that our platform technology has the potential to be utilized across various spinal indications and disease states such as cervical corpectomy and cervical disc arthroplasty. Additional FDA clearances/approvals would be required for these or any other new indications.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Hospital Inpatient and Outpatient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the level of reimbursement that hospitals and outpatient facilities receive from payors for lumbar and cervical fusion surgical procedures could have a significant impact on our results of operations. The level of payors' reimbursement for procedures using our aprevo Technology Platform depends substantially on our continued ability to generate clinical evidence, garner support from key opinion leaders, and gain advocacy for patient access to our technology with Centers for Medicare &amp; Medicaid Services ("CMS") and commercial payors. </w:t>
      </w:r>
    </w:p>
    <w:p>
      <w:pPr>
        <w:pStyle w:val="TextBody"/>
        <w:bidi w:val="0"/>
        <w:spacing w:before="240" w:after="283"/>
        <w:jc w:val="left"/>
        <w:rPr>
          <w:rFonts w:ascii="Times New Roman" w:hAnsi="Times New Roman"/>
          <w:sz w:val="20"/>
        </w:rPr>
      </w:pPr>
      <w:r>
        <w:rPr>
          <w:rFonts w:ascii="Times New Roman" w:hAnsi="Times New Roman"/>
          <w:b/>
          <w:i/>
          <w:color w:val="000000"/>
          <w:sz w:val="20"/>
        </w:rPr>
        <w:t>aprevo</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b/>
          <w:i/>
          <w:color w:val="000000"/>
          <w:sz w:val="20"/>
        </w:rPr>
        <w:t>Lumbar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Procedures using our aprevo Technology Platform are covered by Medicare, Medicare Advantage, and commercial payors. For the three months ended March 31, 2026, we estimate that our hospital customers’ payor mix consisted of approximately 44% for commercial insurance and 56% for both Medicare and Medicare Advantage insurance. Effective October 2024, CMS adopted a new MS-DRG coding system which reassigns MS-DRG codes for certain lumbar spine fusion procedures when “custom-made anatomically designed interbody fusion devices” (such as our aprevo Technology Platform) are utilized. This provides additional reimbursement for our hospital customers, compared to the reimbursement for fusion procedures that use stock implants. We believe this, among other factors, will support our customers' continued demand for use of our technology in lumbar spine fusion surgeries.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Fiscal Year 2027 Inpatient Prospective Payment System (IPPS) proposal was released by CMS on April 10, 2026. The proposal includes updated assignment of lumbar spine fusion procedures utilizing aprevo to three new MS-DRG codes: 523, 524, or 525, rather than current coding in the 400 DRG series. If finalized as proposed, we believe this represents Medicare’s validation of our platform’s clinical and economic value and if implemented, could drive enhanced market adoption with additional reimbursement clarity for our customers. This rule remains preliminary and we anticipate the final rule to be published prior to becoming effective on October 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aprevo</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b/>
          <w:i/>
          <w:color w:val="000000"/>
          <w:sz w:val="20"/>
        </w:rPr>
        <w:t>Cervical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Inpatient Procedures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believe Medicare-aged patients receiving multi-level anterior cervical discectomy and fusion (ACDF) surgeries are uniquely addressed by aprevo cervical. Based on our internal data, a majority of these procedures are performed in an inpatient setting. Effective October 1, 2025, qualifying cervical fusion procedures utilizing aprevo personalized interbody implants for traditional Medicare beneficiaries are eligible for New Technology Add-on Payments ("NTAP") from CMS. The NTAP program provides additional reimbursement to hospitals that use designated new medical technologies in the first few years of market introduction. These new technologies must demonstrate significant clinical improvement in the diagnosis or treatment of Medicare beneficiaries compared to existing alternatives or be designated by the FDA as Breakthrough technology. CMS created unique ICD-10-PCS codes to identify cervical fusion procedures using "custom made anatomically designed interbody fusion devices" such as our aprevo Technology Platform. Reimbursement claims submitted with these unique ICD-10-PCS procedure codes may qualify hospitals for up to an additional $21,125 in NTAP reimbursement for eligible inpatient procedures. </w:t>
      </w:r>
    </w:p>
    <w:p>
      <w:pPr>
        <w:pStyle w:val="TextBody"/>
        <w:bidi w:val="0"/>
        <w:jc w:val="left"/>
        <w:rPr>
          <w:rFonts w:ascii="Times New Roman" w:hAnsi="Times New Roman"/>
          <w:i/>
          <w:color w:val="000000"/>
          <w:sz w:val="20"/>
        </w:rPr>
      </w:pPr>
      <w:r>
        <w:rPr>
          <w:rFonts w:ascii="Times New Roman" w:hAnsi="Times New Roman"/>
          <w:i/>
          <w:color w:val="000000"/>
          <w:sz w:val="20"/>
        </w:rPr>
        <w:t>Outpatient Procedures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aprevo cervical currently has the same payor reimbursement methodology as stock interbody implants for hospital outpatient departments and ambulatory surgery centers. Our requested Transitional Pass-Through (“TPT”) payment for aprevo cervical in outpatient settings was not approved by CMS in its November 2025 Outpatient Prospective Payment System (OPPS) Final Rule, despite our analysis and documentation for its qualification. We will continue to explore opportunities with CMS for various pathways including TPT and New Technology Ambulatory Payment Classification (APC) to appropriately reimburse our customers' costs of providing the aprevo Technology Platform in outpatient cervical fusion procedures.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aprevo interbody implants and accompanying inserter instruments to customers under standard pricing schedules. We typically recognize revenue in the period of its use within a spine fusion surgical procedure.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the costs of creating patient-specific digital surgical plans and the manufacturing costs of our aprevo interbody implants and the accompanying inserter instruments. These costs of sales include allocations for personnel, software, contract manufacturing and other third-party services, packaging, shipping, provision for excess and obsolete inventory, and overhead cost allocations. We expect that our cost of sales will continue to increase in proportion to recognized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Gross profit (i.e., revenue </w:t>
      </w:r>
      <w:r>
        <w:rPr>
          <w:rFonts w:ascii="Times New Roman" w:hAnsi="Times New Roman"/>
          <w:i/>
          <w:color w:val="000000"/>
          <w:sz w:val="20"/>
        </w:rPr>
        <w:t>less</w:t>
      </w:r>
      <w:r>
        <w:rPr>
          <w:rFonts w:ascii="Times New Roman" w:hAnsi="Times New Roman"/>
          <w:color w:val="000000"/>
          <w:sz w:val="20"/>
        </w:rPr>
        <w:t xml:space="preserve"> cost of sales) and gross margin (i.e., gross profit as a </w:t>
      </w:r>
      <w:r>
        <w:rPr>
          <w:rFonts w:ascii="Times New Roman" w:hAnsi="Times New Roman"/>
          <w:i/>
          <w:color w:val="000000"/>
          <w:sz w:val="20"/>
        </w:rPr>
        <w:t>percentage of</w:t>
      </w:r>
      <w:r>
        <w:rPr>
          <w:rFonts w:ascii="Times New Roman" w:hAnsi="Times New Roman"/>
          <w:color w:val="000000"/>
          <w:sz w:val="20"/>
        </w:rPr>
        <w:t xml:space="preserve"> revenue) have been, and will continue to be, affected by various factors. These include potential changes to our average revenue per procedure, sales volumes, third-party manufacturing costs, direct labor costs, software costs, and provisions for excess and obsolete inventory. We expect our gross margin to remain relatively constant over the short term and to modestly increase over the medium and long term with economies of production scale, increased leverage of our AI technologies, and other planned manufacturing efficiencies.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include personnel costs (i.e., salaries, bonuses, stock-based compensation expense, and benefits), allocated facility costs, product prototype materials and testing, clinical studies aimed at potential new products, allocated software license amortization expenses, and consulting and other service fees.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 research and development expenses in the periods in which they are incurred. We expect our research and development expenses to increase as we continue to accelerate product and software innovation, develop additional clinical data, and expand manufacturing capabilities.</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(i.e., salaries, commissions, bonuses, stock-based compensation expense, benefits, and travel), independent sales agent commissions, costs associated with generic surgical instruments we may provide to our independent sales agents, various digital and print initiatives to increase market awareness of our product and technology, conference and trade show fees, shipping costs, consulting fees, and medical education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sales and marketing expenses to increase in the foreseeable future as we continue to increase the size of our sales organization and scope of our marketing efforts in the United States and into other geographies, expand the indications for our aprevo Technology Platform, and establish international sales channels. While we expect sales and marketing expenses to continue to increase in absolute value, we expect that these costs will decrease as a percentage of revenue over time.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(i.e., salaries, bonuses, stock-based compensation expense, and benefits) for executive, legal, finance, corporate information technology and human resources roles. Other significant costs include legal fees relating to intellectual property and corporate matters, consultant and professional fees, insurance, bad debt expenses, and facility-related costs. We recognize general and administrative expenses in the periods in which they are incurred. We anticipate that our general and administrative expenses will increase in the future to support our anticipated business growth as a publicly traded company. These increased costs include accounting, audit, legal, regulatory, tax, insurance, investor relations, and compliance with exchange listing and SEC requirements. While we expect general and administrative expenses to continue to increase in absolute value, we expect that these costs will decrease as a percentage of revenue over time.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coupon payments and non-cash amortization of debt issuance costs as part of the Customers Loan Agreement.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attributable to bank interest on our cash and cash equivalents and interest earned on our short-term investments in certificates of deposit.</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closing of the IPO on July 24, 2025, we had issued warrants for the purchase of our convertible preferred stock in conjunction with the loan and security agreement with Customers Bank (the “Customers Loan Agreement”). On the closing of the IPO, all warrants issued to Customers Bank under the Customers Loan Agreement became exercisable into common stock, with certain warrants continuing to be classified as liabilities. Upon the execution of the Fifth Amendment to the Customers Loan Agreement on October 29, 2025, there were no warrants that remained classified as liabilities as a result of the cancellation of 15,831 shares of common stock that were exercisable contingent on loan draw milestones. We accounted for these liability-classified warrants, initially measured at fair value, in accordance with </w:t>
      </w:r>
      <w:r>
        <w:rPr>
          <w:rFonts w:ascii="Times New Roman" w:hAnsi="Times New Roman"/>
          <w:i/>
          <w:color w:val="000000"/>
          <w:sz w:val="20"/>
        </w:rPr>
        <w:t>ASC Topic 480</w:t>
      </w:r>
      <w:r>
        <w:rPr>
          <w:rFonts w:ascii="Times New Roman" w:hAnsi="Times New Roman"/>
          <w:color w:val="000000"/>
          <w:sz w:val="20"/>
        </w:rPr>
        <w:t xml:space="preserve">. Changes in fair value of warrant liabilities have been recognized in the statements of operations and comprehensive loss. During the three months ended March 31, 2026, Customers Bank exercised the warrants on a cashless basis, resulting in the issuance of 30,366 shares of common stock. As a result of the exercise, the warrants are no longer outstanding. See </w:t>
      </w:r>
      <w:r>
        <w:rPr>
          <w:rFonts w:ascii="Times New Roman" w:hAnsi="Times New Roman"/>
          <w:i/>
          <w:color w:val="000000"/>
          <w:sz w:val="20"/>
        </w:rPr>
        <w:t xml:space="preserve">Note 2—Summary of Significant Accounting Policies </w:t>
      </w:r>
      <w:r>
        <w:rPr>
          <w:rFonts w:ascii="Times New Roman" w:hAnsi="Times New Roman"/>
          <w:color w:val="000000"/>
          <w:sz w:val="20"/>
        </w:rPr>
        <w:t>in the notes to our unaudited condensed financial statements for information regarding the Series B Warrant and the Series C Warrant in connection with the Customers Loan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variances versus the prior period, and percentage of revenue for each presented caption. The period-to-period comparison is not necessarily indicative of financial results to be achieved in future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1"/>
        <w:gridCol w:w="146"/>
        <w:gridCol w:w="211"/>
        <w:gridCol w:w="146"/>
        <w:gridCol w:w="676"/>
        <w:gridCol w:w="166"/>
        <w:gridCol w:w="146"/>
        <w:gridCol w:w="211"/>
        <w:gridCol w:w="146"/>
        <w:gridCol w:w="676"/>
        <w:gridCol w:w="166"/>
        <w:gridCol w:w="146"/>
        <w:gridCol w:w="211"/>
        <w:gridCol w:w="146"/>
        <w:gridCol w:w="631"/>
        <w:gridCol w:w="166"/>
        <w:gridCol w:w="146"/>
        <w:gridCol w:w="146"/>
        <w:gridCol w:w="781"/>
        <w:gridCol w:w="166"/>
        <w:gridCol w:w="271"/>
        <w:gridCol w:w="146"/>
        <w:gridCol w:w="146"/>
        <w:gridCol w:w="571"/>
        <w:gridCol w:w="166"/>
        <w:gridCol w:w="271"/>
        <w:gridCol w:w="146"/>
        <w:gridCol w:w="146"/>
        <w:gridCol w:w="571"/>
        <w:gridCol w:w="166"/>
        <w:gridCol w:w="595"/>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$16.1 million and $10.2 million for the three months ended March 31, 2026 and 2025, respectively. The increase of $5.9 million, or 58.2%, was primarily driven by increased volume of surgical procedures with the aprevo Technology Platform in the current quarter, with our average revenue per procedure substantially constant between these periods.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Cost of Sales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was $3.7 million and $2.6 million for the three months ended March 31, 2026 and 2025, respectively. The increase of $1.1 million, or 44.6%, was primarily driven by increased unit sales of the aprevo Technology Platform for the three months ended March 31, 2026 , as compared to the three months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was 77.1% for the three months ended March 31, 2026, as compared to 74.9% for the three months ended March 31, 2025 with cost improvements per unit primarily due to production fees charged by our contract manufacturer.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$5.2 million and $3.2 million for the three months ended March 31, 2026 and 2025, respectively. The increase of $2.0 million, or 64.4%, was primarily due to higher personnel costs to support product development and surgical planning AI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were $10.3 million and $6.7 million for the three months ended March 31, 2026 and 2025, respectively. The increase of $3.6 million, or 52.8%, was primarily driven by a $1.5 million increase in personnel-related costs (including increased headcount, sales compensation and bonuses, and stock-based compensation), a $0.9 million increase in commissions to independent sales agents as part of sales growth, and a $0.6 million increase in various marketing costs.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$6.2 million and $3.5 million for the three months ended March 31, 2026 and 2025, respectively. The increase of $2.8 million, or 79.6%, was primarily driven by a $1.6 million increase in personnel-related costs to support business growth and compliance and operational requirements as a public company, a $0.4 million increase in provision for credit losses, and a $0.3 million increase in professional service and legal fees for corporate and intellectual property matters.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$0.3 million and $0.4 million as of the three months ended March 31, 2026 and 2025, respectively, as part of our credit facility with $15.6 million principal outstanding.</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$0.9 million and $0.4 million for the three months ended March 31, 2026 and 2025, respectively. The increase of $0.5 million, or 134.5%, was due to an increase in bank interest on our higher daily average cash and cash equivalent balances resulting from the proceeds from our IPO in July 2025 and from purchases of short-term investments.</w:t>
      </w:r>
    </w:p>
    <w:p>
      <w:pPr>
        <w:pStyle w:val="TextBody"/>
        <w:bidi w:val="0"/>
        <w:spacing w:before="360" w:after="120"/>
        <w:jc w:val="left"/>
        <w:rPr>
          <w:rFonts w:ascii="Times New Roman" w:hAnsi="Times New Roman"/>
          <w:color w:val="000000"/>
          <w:sz w:val="20"/>
          <w:u w:val="single"/>
        </w:rPr>
      </w:pPr>
      <w:r>
        <w:rPr>
          <w:rFonts w:ascii="Times New Roman" w:hAnsi="Times New Roman"/>
          <w:color w:val="000000"/>
          <w:sz w:val="20"/>
          <w:u w:val="single"/>
        </w:rPr>
        <w:t>Change in Fair Value of Warrant Liabilities</w:t>
      </w:r>
    </w:p>
    <w:p>
      <w:pPr>
        <w:pStyle w:val="TextBody"/>
        <w:bidi w:val="0"/>
        <w:jc w:val="left"/>
        <w:rPr>
          <w:rFonts w:ascii="Times New Roman" w:hAnsi="Times New Roman"/>
          <w:color w:val="000000"/>
          <w:sz w:val="20"/>
        </w:rPr>
      </w:pPr>
      <w:r>
        <w:rPr>
          <w:rFonts w:ascii="Times New Roman" w:hAnsi="Times New Roman"/>
          <w:color w:val="000000"/>
          <w:sz w:val="20"/>
        </w:rPr>
        <w:t>There was no change in fair value of warrant liabilities during the three months ended March 31, 2026 compared to a less than $0.1 million increase during the three months ended March 31, 2025, as the Company had no warrant liabilities outstanding during the current period.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 xml:space="preserve">Non-GAAP Financial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utilize and present financial measures that are not calculated and presented in accordance with GAAP. Our non-GAAP financial measures include EBITDA and Adjusted EBITDA, each of which is described below. We use our non-GAAP financial measures in evaluating our operating performance and for internal planning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We believe that the presentation of our GAAP and non-GAAP financial measures, in combination, is helpful to investors in assessing our trending business performance in the currently reported period and versus prior periods.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 and Adjusted EBITDA are non-GAAP financial measures used by management as a supplemental measure in evaluating our operating performance. EBITDA and Adjusted EBITDA should not be considered as alternatives to, or more meaningful than, net loss or any other measure as determined in accordance with GAAP. Our computation of EBITDA and Adjusted EBITDA may not be comparable to EBITDA and Adjusted EBITDA of other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“EBITDA” as net income (loss), adjusted to exclude: (i) net interest income, (ii) income tax expense (benefit), (iii) depreciation expense from property and equipment, and (iv) amortization expense from long-lived assets We define “Adjusted EBITDA” as EBITDA adjusted to exclude stock-based compensation expense and change in fair value of warrant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a reconciliation of EBITDA and Adjusted EBITDA to the GAAP financial measure of net loss for each of the periods indicated:</w:t>
      </w:r>
    </w:p>
    <w:p>
      <w:pPr>
        <w:pStyle w:val="TextBody"/>
        <w:bidi w:val="0"/>
        <w:jc w:val="left"/>
        <w:rPr/>
      </w:pPr>
      <w:r>
        <w:rPr/>
        <w:t> </w:t>
      </w:r>
    </w:p>
    <w:tbl>
      <w:tblPr>
        <w:tblW w:w="8972" w:type="dxa"/>
        <w:jc w:val="left"/>
        <w:tblInd w:w="0" w:type="dxa"/>
        <w:tblLayout w:type="fixed"/>
        <w:tblCellMar>
          <w:top w:w="28" w:type="dxa"/>
          <w:left w:w="28" w:type="dxa"/>
          <w:bottom w:w="28" w:type="dxa"/>
          <w:right w:w="28" w:type="dxa"/>
        </w:tblCellMar>
      </w:tblPr>
      <w:tblGrid>
        <w:gridCol w:w="3451"/>
        <w:gridCol w:w="146"/>
        <w:gridCol w:w="221"/>
        <w:gridCol w:w="153"/>
        <w:gridCol w:w="662"/>
        <w:gridCol w:w="174"/>
        <w:gridCol w:w="153"/>
        <w:gridCol w:w="221"/>
        <w:gridCol w:w="153"/>
        <w:gridCol w:w="662"/>
        <w:gridCol w:w="166"/>
        <w:gridCol w:w="146"/>
        <w:gridCol w:w="211"/>
        <w:gridCol w:w="146"/>
        <w:gridCol w:w="631"/>
        <w:gridCol w:w="166"/>
        <w:gridCol w:w="146"/>
        <w:gridCol w:w="146"/>
        <w:gridCol w:w="72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Heading2"/>
        <w:bidi w:val="0"/>
        <w:spacing w:before="36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We have historically financed operations primarily through the net proceeds that we have received from the sale of shares of our convertible preferred stock, borrowings under our debt facilities, and cash generated from the sales of aprevo interbody implants. On July 24, 2025, we completed our IPO and received $93.5 million in net proceeds, after deducting underwriting discounts and commissions and before additional offering expenses of $5.4 million paid by us. As of March 31, 2026, we had $97.1 million of cash, cash equivalents, restricted cash and short-term investments, $15.6 million of principal outstanding under our credit facility, and an accumulated deficit of $109.5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may continue to incur losses and expend significant amounts of cash in the foreseeable future as we continue to scale our business, invest in research and development activities, increase sales and marketing expenses to support commercial expansion, and increase general and administrative expenses associated with operating as a publicly traded company.</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Customers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2022, we entered into a loan and security agreement with Signature Bank, which was subsequently succeeded by Customers Bank (the “Customers Loan Agreement”). The Customers Loan Agreement, as amended, provides a credit facility to include (i) a term loan in the principal amount of up to $50.0 million (the “Term Loan”), $17.5 million of which is contingent upon the achievement of requisite revenue milestones, and (ii) a $10.0 million non-formula revolving line of credit (the “Non-Formula Revolving Line”), provided that the aggregate borrowings under the Term Loan and the Non-Formula Revolving Line may not exceed $50.0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maturity date of the Term Loan is October 15, 2030, with an interest-only period through October 15, 2027, followed by principal repayment over 36 months thereafter. Upon achievement of a certain revenue milestone, the interest-only period and repayment terms of the Term Loan may be extended through April 15, 2028 followed by principal repayment over 30 months, and upon achievement of an additional revenue milestone, may be further extended through October 15, 2028, followed by principal repayment over 24 months thereafter. The Non-Formula Revolving Line will mature on October 15, 2028. The applicable per annum interest rate is the </w:t>
      </w:r>
      <w:r>
        <w:rPr>
          <w:rFonts w:ascii="Times New Roman" w:hAnsi="Times New Roman"/>
          <w:i/>
          <w:color w:val="000000"/>
          <w:sz w:val="20"/>
        </w:rPr>
        <w:t xml:space="preserve">greater of </w:t>
      </w:r>
      <w:r>
        <w:rPr>
          <w:rFonts w:ascii="Times New Roman" w:hAnsi="Times New Roman"/>
          <w:color w:val="000000"/>
          <w:sz w:val="20"/>
        </w:rPr>
        <w:t>(a) WSJ Prime Rate + 0.25% or (b) 5.25%, which resulted in its 7.0% interest rate as of March 31,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2026, $15.6 million of principal was outstanding under the Term Loan that will mature on October 15, 2030 and there were no borrowings outstanding under the Non-Formula Revolving Line. As of March 31, 2026, an aggregate $26.9 million remained available for borrowing under the Term Loan and Non-Formula Revolving Line, net of amounts outstanding. See </w:t>
      </w:r>
      <w:r>
        <w:rPr>
          <w:rFonts w:ascii="Times New Roman" w:hAnsi="Times New Roman"/>
          <w:i/>
          <w:color w:val="000000"/>
          <w:sz w:val="20"/>
        </w:rPr>
        <w:t xml:space="preserve">Note 4—Debt </w:t>
      </w:r>
      <w:r>
        <w:rPr>
          <w:rFonts w:ascii="Times New Roman" w:hAnsi="Times New Roman"/>
          <w:color w:val="000000"/>
          <w:sz w:val="20"/>
        </w:rPr>
        <w:t xml:space="preserve">in the accompanying notes to our unaudited condensed financial statements for additional information regarding this credit facility.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our existing cash, cash equivalents and short-term investments, the expected cash generated from sales of our aprevo Technology Platform, and amounts currently available for future borrowings under our Customers Loan Agreement will be sufficient to fund our planned operating expenses and capital expenditure requirements for at least the next 12 months. We have based this estimate on assumptions that may prove to be wrong, and we could deplete our capital resources sooner than we expect. Our quarterly and annual financial results may fluctuate as a result of a variety of factors, many of which are outside of our control and, as a result, may not fully reflect the underlying performance of our business. Fluctuation in quarterly and annual results may decrease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the aprevo Technology Platform and other products and solutions we may develop in the future;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obtain marketing approval for the aprevo Technology Platform in relevant markets or for other products and solutions we may develop in the future, and the timing and scope of any such approvals we may receive;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availability of reimbursement for aprevo Technology Platform at acceptable reimbursement rates;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cost of manufacturing of aprevo Technology Platform, which may vary depending on the quantity of production and the terms of our agreements with manufacturers and other vendors;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attract, hire, train, and retain qualified personnel;</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 and timing of costs and expenses related to the maintenance and expansion of our business and operations;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changes in our product pricing policies or those of our competitors;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level of demand for the aprevo Technology Platform;</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general economic, industry, and market conditions or extraordinary external events, such as a recession;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changes in our regulatory environment;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expenses associated with unforeseen product quality issues;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timing and success or failure of studies or trials for the aprevo Technology Platform or competing product candidates;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any other change in the competitive landscape of our industry, including consolidation amongst our competitors or partners;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litigation or other claims against us for intellectual property infringement or otherwise;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expenses associated with indemnification obligations to third parties that are subject to litigation or claims, including in relation to intellectual property infringement, or that incur other losses as a result of their use of our products;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ability to obtain additional financing as necessary;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advances and trends in new technologies and industry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these sources of cash are insufficient to satisfy our liquidity requirements, we may need to engage in equity or debt financings to secure additional funds.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deteriorating global economic conditions and the disruptions to and volatility in the credit and financial markets in the United States and fluctuations in interest rates.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p>
      <w:pPr>
        <w:pStyle w:val="TextBody"/>
        <w:bidi w:val="0"/>
        <w:jc w:val="left"/>
        <w:rPr/>
      </w:pPr>
      <w:r>
        <w:rPr/>
        <w:t> </w:t>
      </w:r>
    </w:p>
    <w:tbl>
      <w:tblPr>
        <w:tblW w:w="6741" w:type="dxa"/>
        <w:jc w:val="left"/>
        <w:tblInd w:w="0" w:type="dxa"/>
        <w:tblLayout w:type="fixed"/>
        <w:tblCellMar>
          <w:top w:w="28" w:type="dxa"/>
          <w:left w:w="28" w:type="dxa"/>
          <w:bottom w:w="28" w:type="dxa"/>
          <w:right w:w="28" w:type="dxa"/>
        </w:tblCellMar>
      </w:tblPr>
      <w:tblGrid>
        <w:gridCol w:w="3946"/>
        <w:gridCol w:w="146"/>
        <w:gridCol w:w="211"/>
        <w:gridCol w:w="146"/>
        <w:gridCol w:w="736"/>
        <w:gridCol w:w="166"/>
        <w:gridCol w:w="146"/>
        <w:gridCol w:w="211"/>
        <w:gridCol w:w="146"/>
        <w:gridCol w:w="67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used in operating activities was $13.0 million. We received $14.8 million from our customers for sales of the aprevo Technology Platform in the three months ended March 31, 2026 and recognized $16.1 million of revenue, based on the timing of aprevo interbody implants use in surgical procedures in this period. Cash payments to vendors during the three months ended March 31, 2026 totaled $15.5 million and payroll-related cash payments totaled $12.3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net cash used in operating activities was $8.2 million. We received $8.8 million from our customers for sales of the aprevo Technology Platform in the three months ended March 31, 2025 and recognized $10.2 million of revenue based on the timing of aprevo interbody implants use in surgical procedures in this period. Cash payments to vendors during the three months ended March 31, 2025 totaled $9.9 million and payroll-related cash payments totaled $7.0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net cash used in investing activities was $0.2 million and consisted of purchases of property and equipment and capitalized internal use software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net cash used in investing activities was $0.1 million and consisted primarily of purchases of property and equipment and capitalized internal use software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provided by financing activities was $0.4 million, consisting primarily proceeds from the exercise of stock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net cash provided by financing activities was $11.7 million, consisting primarily of net proceeds from the issuance of Series C convertible preferred stock of $11.9 million and proceeds from the exercise of stock options of $0.1 million. This was partially offset by payments for related offering costs of $0.4 million.</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Contractual Obligations and Other Material Cash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contractual obligations as of March 31, 2026,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principal outstanding under the Customers Loan Agreement as of March 31, 2026, was $15.6 million under the Term Loan. The Term Loan matures on October 15, 2030, with an interest-only period through October 15, 2027, followed by principal repayment over 36 months thereafter. Upon achievement of certain revenue milestones, the interest-only period and repayment terms may be further extended to an interest-only period through April 15, 2028 followed by principal repayment over 30 months, and upon achievement of an additional milestone, may be further extended through October 15, 2028, followed by principal repayment over 24 months thereafter. The applicable per annum interest rate is the </w:t>
      </w:r>
      <w:r>
        <w:rPr>
          <w:rFonts w:ascii="Times New Roman" w:hAnsi="Times New Roman"/>
          <w:i/>
          <w:color w:val="000000"/>
          <w:sz w:val="20"/>
        </w:rPr>
        <w:t>greater of</w:t>
      </w:r>
      <w:r>
        <w:rPr>
          <w:rFonts w:ascii="Times New Roman" w:hAnsi="Times New Roman"/>
          <w:color w:val="000000"/>
          <w:sz w:val="20"/>
        </w:rPr>
        <w:t xml:space="preserve"> (a) WSJ Prime Rate + 0.25% or (b) 5.25%.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contractual obligations for operating lease payments (substantially related to our Carlsbad, California office leases with lease terms to June 30, 2028) totaled $2.1 million and are due over 27 months after March 31, 2026.</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In our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section within our Annual Report on Form 10-K, we identified the critical accounting policies which affect our more significant estimates and assumptions used in preparing our financial statements. There have been no material changes to our critical accounting policies from those previously disclosed in the Annual Report on Form 10-K.</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Recently Issued and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 Summary of Significant Accounting Policies” </w:t>
      </w:r>
      <w:r>
        <w:rPr>
          <w:rFonts w:ascii="Times New Roman" w:hAnsi="Times New Roman"/>
          <w:color w:val="231F20"/>
          <w:sz w:val="20"/>
        </w:rPr>
        <w:t>in the accompanying notes</w:t>
      </w:r>
      <w:r>
        <w:rPr>
          <w:rFonts w:ascii="Times New Roman" w:hAnsi="Times New Roman"/>
          <w:color w:val="000000"/>
          <w:sz w:val="20"/>
        </w:rPr>
        <w:t xml:space="preserve"> to our unaudited condensed financial statements included elsewhere in this Quarterly Report on Form 10-Q for information about recent accounting pronouncements, the timing of their adoption, and our assessment, if any, of their potential impact on our financial condition and results of operations.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color w:val="000000"/>
          <w:sz w:val="20"/>
        </w:rPr>
        <w:t>being permitted to present only two years of audited financial statements with correspondingly reduced “</w:t>
      </w:r>
      <w:r>
        <w:rPr>
          <w:rFonts w:ascii="Times New Roman" w:hAnsi="Times New Roman"/>
          <w:i/>
          <w:color w:val="000000"/>
          <w:sz w:val="20"/>
        </w:rPr>
        <w:t>Management’s Discussion and Analysis of Financial Condition and Results of Operations</w:t>
      </w:r>
      <w:r>
        <w:rPr>
          <w:color w:val="000000"/>
        </w:rPr>
        <w:t xml:space="preserve">” </w:t>
      </w:r>
      <w:r>
        <w:rPr>
          <w:rFonts w:ascii="Times New Roman" w:hAnsi="Times New Roman"/>
          <w:color w:val="000000"/>
          <w:sz w:val="20"/>
        </w:rPr>
        <w:t>disclosure;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reduced disclosure about our executive compensation arrangements;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not being required to hold advisory votes on executive compensation or to obtain stockholder approval of any golden parachute arrangements not previously approved;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exemption from the auditor attestation requirement in the assessment of our internal control over financial reporting pursuant to the Sarbanes-Oxley Act of 2002, as amended (the “Sarbanes-Oxley Act”);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Accordingly, the information contained herein may be different from the information you receive from other public companies in which you hold stock. In addition, the JOBS Act permits an emerging growth company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is irrevocable.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because the market value of our shares held by non-affiliates is less than $700.0 million, and our annual revenue was less than $100.0 million during the most recently completed fiscal year.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that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disclosures controls were effective at a reasonable assurance level as of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of the Exchange Act) during the period covered by this Quarterly Report on Form 10-Q that have materially affected, or are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discussion regarding legal proceedings, please refer to “Note 9 – Commitments and Contingencies” in the accompanying notes to our unaudited condensed financial statements included elsewhere in this Quarterly Report on Form 10-Q.</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variety of risks and uncertainties that are difficult to predict and many of which are outside of our control. For a detailed discussion of the risks that affect our business, refer to the section entitled “Risk Factors” included in the Annual Report. As of the date of this Quarterly Report on Form 10-Q, there have been no material changes to the risk factors previously described in the Annual Report. The matters specifically identified are not the only risks and uncertainties facing our company, and risks and uncertainties not known to us or not specifically identified also may impair our business operations. If any of these risks and uncertainties occur, our business, financial condition, results of operations and cash flows could be negatively affected, which could negatively impact the value of an investment in our company.</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Unregistered Sales of Equity Securities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24, 2025, we completed our IPO, in which we issued and sold 6,700,000 shares of our common stock, at a price to the public of $15.00 per share. The net proceeds to the Company from the IPO were approximately $88.1 million, after deducting underwriting fees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(i) to support the commercialization of the aprevo Technology Platform and expand and improve our product offerings, including to support our increased sales and marketing efforts, to fund our research and development activities to advance the aprevo Technology Platform, including the continued development of the aprevo Technology Platform for use in cervical spine fusion surgeries, and (ii) the remainder for working capital and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IPO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March 31, 2026, none of our directors or officers (as that term is defined by the SEC in Rule 16a-1(f) under the Exchange Act) adopted or terminated a “Rule 10b5-1 trading arrangement” or a “non-Rule 10b5-1 trading arrangement” (in each case, as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
        <w:gridCol w:w="146"/>
        <w:gridCol w:w="9222"/>
      </w:tblGrid>
      <w:tr>
        <w:trPr/>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2" w:type="dxa"/>
            <w:tcBorders/>
            <w:vAlign w:val="center"/>
          </w:tcPr>
          <w:p>
            <w:pPr>
              <w:pStyle w:val="TableContents"/>
              <w:bidi w:val="0"/>
              <w:spacing w:before="0" w:after="283"/>
              <w:jc w:val="left"/>
              <w:rPr>
                <w:sz w:val="4"/>
                <w:szCs w:val="4"/>
              </w:rPr>
            </w:pPr>
            <w:r>
              <w:rPr>
                <w:sz w:val="4"/>
                <w:szCs w:val="4"/>
              </w:rPr>
            </w:r>
          </w:p>
        </w:tc>
      </w:tr>
      <w:tr>
        <w:trPr/>
        <w:tc>
          <w:tcPr>
            <w:tcW w:w="83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Carlsmed, Inc. (incorporated by reference to Exhibit 3.1 to the Current Report on Form 8-K dated July 24, 2025 (File No. 001-42756)).</w:t>
              </w:r>
            </w:hyperlink>
            <w:hyperlink r:id="rId3">
              <w:r>
                <w:rPr>
                  <w:rStyle w:val="InternetLink"/>
                  <w:rFonts w:ascii="Times New Roman" w:hAnsi="Times New Roman"/>
                  <w:color w:val="0000FF"/>
                  <w:sz w:val="20"/>
                </w:rPr>
                <w:t xml:space="preserve"> </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Carlsmed, Inc. (incorporated by reference to Exhibit 3.2 to the Current Report on Form 8-K dated July 24, 2025 (File No. 001-42756)).</w:t>
              </w:r>
            </w:hyperlink>
            <w:hyperlink r:id="rId5">
              <w:r>
                <w:rPr>
                  <w:rStyle w:val="InternetLink"/>
                  <w:rFonts w:ascii="Times New Roman" w:hAnsi="Times New Roman"/>
                  <w:color w:val="0000FF"/>
                  <w:sz w:val="20"/>
                </w:rPr>
                <w:t xml:space="preserve"> </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PSU Award Agreement (incorporated by reference to Exhibit 10.22 to the Annual Report on Form 10-K filed on February 25, 2026 (File No. 001-42756)).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54" w:type="dxa"/>
        <w:jc w:val="left"/>
        <w:tblInd w:w="0" w:type="dxa"/>
        <w:tblLayout w:type="fixed"/>
        <w:tblCellMar>
          <w:top w:w="28" w:type="dxa"/>
          <w:left w:w="28" w:type="dxa"/>
          <w:bottom w:w="28" w:type="dxa"/>
          <w:right w:w="28" w:type="dxa"/>
        </w:tblCellMar>
      </w:tblPr>
      <w:tblGrid>
        <w:gridCol w:w="1636"/>
        <w:gridCol w:w="14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arl-ex31_1.htm"/>
      <w:bookmarkStart w:id="22" w:name="kscarlex31_1"/>
      <w:bookmarkEnd w:id="21"/>
      <w:bookmarkEnd w:id="2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Michael Cordonnier,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Carlsmed,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146"/>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arl-ex31_2.htm"/>
      <w:bookmarkStart w:id="24" w:name="kscarlex31_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Leonard Greenstein,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Carlsmed,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arl-ex32_1.htm"/>
      <w:bookmarkStart w:id="26" w:name="kscarl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Carlsmed,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146"/>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Cordonnier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arl-ex32_2.htm"/>
      <w:bookmarkStart w:id="28" w:name="kscarlex32_2"/>
      <w:bookmarkEnd w:id="27"/>
      <w:bookmarkEnd w:id="28"/>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Carlsmed,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Leonard Greenstein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46/000095017025098327/carl-ex3_1.htm" TargetMode="External"/><Relationship Id="rId3" Type="http://schemas.openxmlformats.org/officeDocument/2006/relationships/hyperlink" Target="https://www.sec.gov/Archives/edgar/data/1794546/000095017025098327/carl-ex3_1.htm" TargetMode="External"/><Relationship Id="rId4" Type="http://schemas.openxmlformats.org/officeDocument/2006/relationships/hyperlink" Target="https://www.sec.gov/Archives/edgar/data/1794546/000095017025098327/carl-ex3_2.htm" TargetMode="External"/><Relationship Id="rId5" Type="http://schemas.openxmlformats.org/officeDocument/2006/relationships/hyperlink" Target="https://www.sec.gov/Archives/edgar/data/1794546/000095017025098327/carl-ex3_2.htm" TargetMode="External"/><Relationship Id="rId6" Type="http://schemas.openxmlformats.org/officeDocument/2006/relationships/hyperlink" Target="https://www.sec.gov/Archives/edgar/data/1794546/000119312526071551/carl-ex10_2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19544</Words>
  <Characters>108041</Characters>
  <CharactersWithSpaces>128394</CharactersWithSpaces>
  <Paragraphs>4445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