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16"/>
        </w:rPr>
      </w:pPr>
      <w:bookmarkStart w:id="0" w:name="carl-20260814.htm"/>
      <w:bookmarkStart w:id="1" w:name="kscarl20260814"/>
      <w:bookmarkEnd w:id="0"/>
      <w:bookmarkEnd w:id="1"/>
      <w:r>
        <w:rPr>
          <w:rFonts w:ascii="Times New Roman" w:hAnsi="Times New Roman"/>
          <w:b/>
          <w:color w:val="000000"/>
          <w:sz w:val="16"/>
        </w:rPr>
        <w:t>As filed with the Securities and Exchange Commission on August 14, 2026</w:t>
      </w:r>
    </w:p>
    <w:p>
      <w:pPr>
        <w:pStyle w:val="TextBody"/>
        <w:bidi w:val="0"/>
        <w:jc w:val="right"/>
        <w:rPr>
          <w:rFonts w:ascii="Times New Roman" w:hAnsi="Times New Roman"/>
          <w:sz w:val="20"/>
        </w:rPr>
      </w:pPr>
      <w:r>
        <w:rPr>
          <w:rFonts w:ascii="Times New Roman" w:hAnsi="Times New Roman"/>
          <w:b/>
          <w:color w:val="000000"/>
          <w:sz w:val="16"/>
        </w:rPr>
        <w:t>Registration No. 333-</w:t>
      </w:r>
      <w:r>
        <w:rPr>
          <w:rFonts w:ascii="Times New Roman" w:hAnsi="Times New Roman"/>
          <w:color w:val="000000"/>
          <w:sz w:val="20"/>
        </w:rPr>
        <w:t xml:space="preserve"> </w:t>
      </w:r>
    </w:p>
    <w:p>
      <w:pPr>
        <w:pStyle w:val="TextBody"/>
        <w:bidi w:val="0"/>
        <w:jc w:val="center"/>
        <w:rPr/>
      </w:pPr>
      <w:r>
        <w:rPr/>
        <w:t> </w:t>
      </w:r>
    </w:p>
    <w:p>
      <w:pPr>
        <w:pStyle w:val="TextBody"/>
        <w:pBdr>
          <w:top w:val="single" w:sz="6" w:space="1" w:color="000000"/>
        </w:pBdr>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pPr>
      <w:r>
        <w:rPr/>
        <w:t> </w:t>
      </w:r>
    </w:p>
    <w:p>
      <w:pPr>
        <w:pStyle w:val="TextBody"/>
        <w:pBdr>
          <w:top w:val="single" w:sz="6" w:space="1" w:color="000000"/>
        </w:pBdr>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FORM S-3</w:t>
      </w:r>
    </w:p>
    <w:p>
      <w:pPr>
        <w:pStyle w:val="TextBody"/>
        <w:bidi w:val="0"/>
        <w:jc w:val="center"/>
        <w:rPr>
          <w:rFonts w:ascii="Times New Roman" w:hAnsi="Times New Roman"/>
          <w:b/>
          <w:color w:val="000000"/>
          <w:sz w:val="28"/>
        </w:rPr>
      </w:pPr>
      <w:r>
        <w:rPr>
          <w:rFonts w:ascii="Times New Roman" w:hAnsi="Times New Roman"/>
          <w:b/>
          <w:color w:val="000000"/>
          <w:sz w:val="28"/>
        </w:rPr>
        <w:t>REGISTRATION STATEMENT</w:t>
      </w:r>
    </w:p>
    <w:p>
      <w:pPr>
        <w:pStyle w:val="TextBody"/>
        <w:bidi w:val="0"/>
        <w:jc w:val="center"/>
        <w:rPr>
          <w:rFonts w:ascii="Times New Roman" w:hAnsi="Times New Roman"/>
          <w:b/>
          <w:i/>
          <w:color w:val="000000"/>
          <w:sz w:val="20"/>
        </w:rPr>
      </w:pPr>
      <w:r>
        <w:rPr>
          <w:rFonts w:ascii="Times New Roman" w:hAnsi="Times New Roman"/>
          <w:b/>
          <w:i/>
          <w:color w:val="000000"/>
          <w:sz w:val="20"/>
        </w:rPr>
        <w:t>UNDER</w:t>
      </w:r>
    </w:p>
    <w:p>
      <w:pPr>
        <w:pStyle w:val="TextBody"/>
        <w:bidi w:val="0"/>
        <w:jc w:val="center"/>
        <w:rPr>
          <w:rFonts w:ascii="Times New Roman" w:hAnsi="Times New Roman"/>
          <w:b/>
          <w:i/>
          <w:color w:val="000000"/>
          <w:sz w:val="20"/>
        </w:rPr>
      </w:pPr>
      <w:r>
        <w:rPr>
          <w:rFonts w:ascii="Times New Roman" w:hAnsi="Times New Roman"/>
          <w:b/>
          <w:i/>
          <w:color w:val="000000"/>
          <w:sz w:val="20"/>
        </w:rPr>
        <w:t>THE SECURITIES ACT OF 1933</w:t>
      </w:r>
    </w:p>
    <w:p>
      <w:pPr>
        <w:pStyle w:val="TextBody"/>
        <w:bidi w:val="0"/>
        <w:jc w:val="center"/>
        <w:rPr/>
      </w:pPr>
      <w:r>
        <w:rPr/>
        <w:t> </w:t>
      </w:r>
    </w:p>
    <w:p>
      <w:pPr>
        <w:pStyle w:val="TextBody"/>
        <w:pBdr>
          <w:top w:val="single" w:sz="6" w:space="1" w:color="000000"/>
        </w:pBdr>
        <w:bidi w:val="0"/>
        <w:jc w:val="center"/>
        <w:rPr/>
      </w:pPr>
      <w:r>
        <w:rPr/>
        <w:t> </w:t>
      </w:r>
    </w:p>
    <w:p>
      <w:pPr>
        <w:pStyle w:val="TextBody"/>
        <w:bidi w:val="0"/>
        <w:jc w:val="center"/>
        <w:rPr>
          <w:rFonts w:ascii="Times New Roman" w:hAnsi="Times New Roman"/>
          <w:b/>
          <w:color w:val="000000"/>
          <w:sz w:val="40"/>
        </w:rPr>
      </w:pPr>
      <w:r>
        <w:rPr>
          <w:rFonts w:ascii="Times New Roman" w:hAnsi="Times New Roman"/>
          <w:b/>
          <w:color w:val="000000"/>
          <w:sz w:val="40"/>
        </w:rPr>
        <w:t>Carlsmed, Inc.</w:t>
      </w:r>
    </w:p>
    <w:p>
      <w:pPr>
        <w:pStyle w:val="TextBody"/>
        <w:bidi w:val="0"/>
        <w:jc w:val="center"/>
        <w:rPr>
          <w:rFonts w:ascii="Times New Roman" w:hAnsi="Times New Roman"/>
          <w:color w:val="000000"/>
          <w:sz w:val="17"/>
        </w:rPr>
      </w:pPr>
      <w:r>
        <w:rPr>
          <w:rFonts w:ascii="Times New Roman" w:hAnsi="Times New Roman"/>
          <w:color w:val="000000"/>
          <w:sz w:val="17"/>
        </w:rPr>
        <w:t>(Exact name of registrant as specified in its charter)</w:t>
      </w:r>
    </w:p>
    <w:p>
      <w:pPr>
        <w:pStyle w:val="TextBody"/>
        <w:bidi w:val="0"/>
        <w:jc w:val="center"/>
        <w:rPr/>
      </w:pPr>
      <w:r>
        <w:rPr/>
        <w:t> </w:t>
      </w:r>
    </w:p>
    <w:p>
      <w:pPr>
        <w:pStyle w:val="TextBody"/>
        <w:pBdr>
          <w:top w:val="single" w:sz="6" w:space="1" w:color="000000"/>
        </w:pBdr>
        <w:bidi w:val="0"/>
        <w:jc w:val="center"/>
        <w:rPr/>
      </w:pPr>
      <w:r>
        <w:rPr/>
        <w:t> </w:t>
      </w:r>
    </w:p>
    <w:tbl>
      <w:tblPr>
        <w:tblW w:w="3992" w:type="dxa"/>
        <w:jc w:val="left"/>
        <w:tblInd w:w="0" w:type="dxa"/>
        <w:tblLayout w:type="fixed"/>
        <w:tblCellMar>
          <w:top w:w="28" w:type="dxa"/>
          <w:left w:w="28" w:type="dxa"/>
          <w:bottom w:w="28" w:type="dxa"/>
          <w:right w:w="28" w:type="dxa"/>
        </w:tblCellMar>
      </w:tblPr>
      <w:tblGrid>
        <w:gridCol w:w="2236"/>
        <w:gridCol w:w="1756"/>
      </w:tblGrid>
      <w:tr>
        <w:trPr/>
        <w:tc>
          <w:tcPr>
            <w:tcW w:w="2236"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r>
      <w:tr>
        <w:trPr/>
        <w:tc>
          <w:tcPr>
            <w:tcW w:w="2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Delaware</w:t>
            </w:r>
          </w:p>
        </w:tc>
        <w:tc>
          <w:tcPr>
            <w:tcW w:w="17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83-1081863</w:t>
            </w:r>
          </w:p>
        </w:tc>
      </w:tr>
      <w:tr>
        <w:trPr/>
        <w:tc>
          <w:tcPr>
            <w:tcW w:w="2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(State or other jurisdiction of</w:t>
              <w:br/>
              <w:t>incorporation or organization)</w:t>
            </w:r>
          </w:p>
        </w:tc>
        <w:tc>
          <w:tcPr>
            <w:tcW w:w="17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 xml:space="preserve">(I.R.S. Employer </w:t>
              <w:br/>
              <w:t>Identification Number)</w:t>
            </w:r>
          </w:p>
        </w:tc>
      </w:tr>
    </w:tbl>
    <w:p>
      <w:pPr>
        <w:pStyle w:val="TextBody"/>
        <w:bidi w:val="0"/>
        <w:jc w:val="center"/>
        <w:rPr/>
      </w:pPr>
      <w:r>
        <w:rPr/>
        <w:t> </w:t>
      </w:r>
    </w:p>
    <w:p>
      <w:pPr>
        <w:pStyle w:val="TextBody"/>
        <w:bidi w:val="0"/>
        <w:jc w:val="center"/>
        <w:rPr>
          <w:rFonts w:ascii="Times New Roman" w:hAnsi="Times New Roman"/>
          <w:b/>
          <w:color w:val="000000"/>
          <w:sz w:val="17"/>
        </w:rPr>
      </w:pPr>
      <w:r>
        <w:rPr>
          <w:rFonts w:ascii="Times New Roman" w:hAnsi="Times New Roman"/>
          <w:b/>
          <w:color w:val="000000"/>
          <w:sz w:val="17"/>
        </w:rPr>
        <w:t>1800 Aston Ave, Suite 100</w:t>
      </w:r>
    </w:p>
    <w:p>
      <w:pPr>
        <w:pStyle w:val="TextBody"/>
        <w:bidi w:val="0"/>
        <w:jc w:val="center"/>
        <w:rPr>
          <w:rFonts w:ascii="Times New Roman" w:hAnsi="Times New Roman"/>
          <w:b/>
          <w:color w:val="000000"/>
          <w:sz w:val="17"/>
        </w:rPr>
      </w:pPr>
      <w:r>
        <w:rPr>
          <w:rFonts w:ascii="Times New Roman" w:hAnsi="Times New Roman"/>
          <w:b/>
          <w:color w:val="000000"/>
          <w:sz w:val="17"/>
        </w:rPr>
        <w:t>Carlsbad, California 92008</w:t>
      </w:r>
    </w:p>
    <w:p>
      <w:pPr>
        <w:pStyle w:val="TextBody"/>
        <w:bidi w:val="0"/>
        <w:jc w:val="center"/>
        <w:rPr>
          <w:rFonts w:ascii="Times New Roman" w:hAnsi="Times New Roman"/>
          <w:b/>
          <w:color w:val="000000"/>
          <w:sz w:val="17"/>
        </w:rPr>
      </w:pPr>
      <w:r>
        <w:rPr>
          <w:rFonts w:ascii="Times New Roman" w:hAnsi="Times New Roman"/>
          <w:b/>
          <w:color w:val="000000"/>
          <w:sz w:val="17"/>
        </w:rPr>
        <w:t>(760) 766-1923</w:t>
      </w:r>
    </w:p>
    <w:p>
      <w:pPr>
        <w:pStyle w:val="TextBody"/>
        <w:bidi w:val="0"/>
        <w:jc w:val="center"/>
        <w:rPr>
          <w:rFonts w:ascii="Times New Roman" w:hAnsi="Times New Roman"/>
          <w:color w:val="000000"/>
          <w:sz w:val="17"/>
        </w:rPr>
      </w:pPr>
      <w:r>
        <w:rPr>
          <w:rFonts w:ascii="Times New Roman" w:hAnsi="Times New Roman"/>
          <w:color w:val="000000"/>
          <w:sz w:val="17"/>
        </w:rPr>
        <w:t>(Address, including zip code, and telephone number, including area code, of registrant’s principal executive offices)</w:t>
      </w:r>
    </w:p>
    <w:p>
      <w:pPr>
        <w:pStyle w:val="TextBody"/>
        <w:bidi w:val="0"/>
        <w:jc w:val="center"/>
        <w:rPr/>
      </w:pPr>
      <w:r>
        <w:rPr/>
        <w:t> </w:t>
      </w:r>
    </w:p>
    <w:p>
      <w:pPr>
        <w:pStyle w:val="TextBody"/>
        <w:pBdr>
          <w:top w:val="single" w:sz="6" w:space="1" w:color="000000"/>
        </w:pBdr>
        <w:bidi w:val="0"/>
        <w:jc w:val="center"/>
        <w:rPr/>
      </w:pPr>
      <w:r>
        <w:rPr/>
        <w:t> </w:t>
      </w:r>
    </w:p>
    <w:p>
      <w:pPr>
        <w:pStyle w:val="TextBody"/>
        <w:bidi w:val="0"/>
        <w:jc w:val="center"/>
        <w:rPr>
          <w:rFonts w:ascii="Times New Roman" w:hAnsi="Times New Roman"/>
          <w:b/>
          <w:color w:val="000000"/>
          <w:sz w:val="17"/>
        </w:rPr>
      </w:pPr>
      <w:r>
        <w:rPr>
          <w:rFonts w:ascii="Times New Roman" w:hAnsi="Times New Roman"/>
          <w:b/>
          <w:color w:val="000000"/>
          <w:sz w:val="17"/>
        </w:rPr>
        <w:t>Michael Cordonnier</w:t>
      </w:r>
    </w:p>
    <w:p>
      <w:pPr>
        <w:pStyle w:val="TextBody"/>
        <w:bidi w:val="0"/>
        <w:jc w:val="center"/>
        <w:rPr>
          <w:rFonts w:ascii="Times New Roman" w:hAnsi="Times New Roman"/>
          <w:b/>
          <w:color w:val="000000"/>
          <w:sz w:val="17"/>
        </w:rPr>
      </w:pPr>
      <w:r>
        <w:rPr>
          <w:rFonts w:ascii="Times New Roman" w:hAnsi="Times New Roman"/>
          <w:b/>
          <w:color w:val="000000"/>
          <w:sz w:val="17"/>
        </w:rPr>
        <w:t>Chairman, Chief Executive Officer, President and Co-Founder</w:t>
      </w:r>
    </w:p>
    <w:p>
      <w:pPr>
        <w:pStyle w:val="TextBody"/>
        <w:bidi w:val="0"/>
        <w:jc w:val="center"/>
        <w:rPr>
          <w:rFonts w:ascii="Times New Roman" w:hAnsi="Times New Roman"/>
          <w:b/>
          <w:color w:val="000000"/>
          <w:sz w:val="17"/>
        </w:rPr>
      </w:pPr>
      <w:r>
        <w:rPr>
          <w:rFonts w:ascii="Times New Roman" w:hAnsi="Times New Roman"/>
          <w:b/>
          <w:color w:val="000000"/>
          <w:sz w:val="17"/>
        </w:rPr>
        <w:t>Carlsmed, Inc.</w:t>
      </w:r>
    </w:p>
    <w:p>
      <w:pPr>
        <w:pStyle w:val="TextBody"/>
        <w:bidi w:val="0"/>
        <w:jc w:val="center"/>
        <w:rPr>
          <w:rFonts w:ascii="Times New Roman" w:hAnsi="Times New Roman"/>
          <w:b/>
          <w:color w:val="000000"/>
          <w:sz w:val="17"/>
        </w:rPr>
      </w:pPr>
      <w:r>
        <w:rPr>
          <w:rFonts w:ascii="Times New Roman" w:hAnsi="Times New Roman"/>
          <w:b/>
          <w:color w:val="000000"/>
          <w:sz w:val="17"/>
        </w:rPr>
        <w:t>1800 Aston Ave., Suite 100</w:t>
      </w:r>
    </w:p>
    <w:p>
      <w:pPr>
        <w:pStyle w:val="TextBody"/>
        <w:bidi w:val="0"/>
        <w:jc w:val="center"/>
        <w:rPr>
          <w:rFonts w:ascii="Times New Roman" w:hAnsi="Times New Roman"/>
          <w:b/>
          <w:color w:val="000000"/>
          <w:sz w:val="17"/>
        </w:rPr>
      </w:pPr>
      <w:r>
        <w:rPr>
          <w:rFonts w:ascii="Times New Roman" w:hAnsi="Times New Roman"/>
          <w:b/>
          <w:color w:val="000000"/>
          <w:sz w:val="17"/>
        </w:rPr>
        <w:t>Carlsbad, CA 92008</w:t>
        <w:br/>
        <w:t>(760) 766-1923</w:t>
      </w:r>
    </w:p>
    <w:p>
      <w:pPr>
        <w:pStyle w:val="TextBody"/>
        <w:bidi w:val="0"/>
        <w:jc w:val="center"/>
        <w:rPr>
          <w:rFonts w:ascii="Times New Roman" w:hAnsi="Times New Roman"/>
          <w:color w:val="000000"/>
          <w:sz w:val="17"/>
        </w:rPr>
      </w:pPr>
      <w:r>
        <w:rPr>
          <w:rFonts w:ascii="Times New Roman" w:hAnsi="Times New Roman"/>
          <w:color w:val="000000"/>
          <w:sz w:val="17"/>
        </w:rPr>
        <w:t>(Name, address, including zip code, and telephone number, including area code, of agent for service)</w:t>
      </w:r>
    </w:p>
    <w:p>
      <w:pPr>
        <w:pStyle w:val="TextBody"/>
        <w:bidi w:val="0"/>
        <w:jc w:val="center"/>
        <w:rPr/>
      </w:pPr>
      <w:r>
        <w:rPr/>
        <w:t> </w:t>
      </w:r>
    </w:p>
    <w:p>
      <w:pPr>
        <w:pStyle w:val="TextBody"/>
        <w:pBdr>
          <w:top w:val="single" w:sz="6"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i/>
          <w:color w:val="000000"/>
          <w:sz w:val="17"/>
        </w:rPr>
        <w:t>Copies to</w:t>
      </w:r>
      <w:r>
        <w:rPr>
          <w:rFonts w:ascii="Times New Roman" w:hAnsi="Times New Roman"/>
          <w:b/>
          <w:color w:val="000000"/>
          <w:sz w:val="17"/>
        </w:rPr>
        <w:t>:</w:t>
      </w:r>
    </w:p>
    <w:p>
      <w:pPr>
        <w:pStyle w:val="TextBody"/>
        <w:bidi w:val="0"/>
        <w:spacing w:before="80" w:after="283"/>
        <w:jc w:val="center"/>
        <w:rPr>
          <w:rFonts w:ascii="Times New Roman" w:hAnsi="Times New Roman"/>
          <w:b/>
          <w:color w:val="000000"/>
          <w:sz w:val="17"/>
        </w:rPr>
      </w:pPr>
      <w:r>
        <w:rPr>
          <w:rFonts w:ascii="Times New Roman" w:hAnsi="Times New Roman"/>
          <w:b/>
          <w:color w:val="000000"/>
          <w:sz w:val="17"/>
        </w:rPr>
        <w:t>H. Thomas Felix</w:t>
      </w:r>
    </w:p>
    <w:p>
      <w:pPr>
        <w:pStyle w:val="TextBody"/>
        <w:bidi w:val="0"/>
        <w:jc w:val="center"/>
        <w:rPr>
          <w:rFonts w:ascii="Times New Roman" w:hAnsi="Times New Roman"/>
          <w:b/>
          <w:color w:val="000000"/>
          <w:sz w:val="17"/>
        </w:rPr>
      </w:pPr>
      <w:r>
        <w:rPr>
          <w:rFonts w:ascii="Times New Roman" w:hAnsi="Times New Roman"/>
          <w:b/>
          <w:color w:val="000000"/>
          <w:sz w:val="17"/>
        </w:rPr>
        <w:t>R. John Hensley</w:t>
      </w:r>
    </w:p>
    <w:p>
      <w:pPr>
        <w:pStyle w:val="TextBody"/>
        <w:bidi w:val="0"/>
        <w:jc w:val="center"/>
        <w:rPr>
          <w:rFonts w:ascii="Times New Roman" w:hAnsi="Times New Roman"/>
          <w:b/>
          <w:color w:val="000000"/>
          <w:sz w:val="17"/>
        </w:rPr>
      </w:pPr>
      <w:r>
        <w:rPr>
          <w:rFonts w:ascii="Times New Roman" w:hAnsi="Times New Roman"/>
          <w:b/>
          <w:color w:val="000000"/>
          <w:sz w:val="17"/>
        </w:rPr>
        <w:t>James M. Krenn</w:t>
      </w:r>
    </w:p>
    <w:p>
      <w:pPr>
        <w:pStyle w:val="TextBody"/>
        <w:bidi w:val="0"/>
        <w:jc w:val="center"/>
        <w:rPr>
          <w:rFonts w:ascii="Times New Roman" w:hAnsi="Times New Roman"/>
          <w:b/>
          <w:color w:val="000000"/>
          <w:sz w:val="17"/>
        </w:rPr>
      </w:pPr>
      <w:r>
        <w:rPr>
          <w:rFonts w:ascii="Times New Roman" w:hAnsi="Times New Roman"/>
          <w:b/>
          <w:color w:val="000000"/>
          <w:sz w:val="17"/>
        </w:rPr>
        <w:t>Morrison &amp; Foerster LLP</w:t>
      </w:r>
    </w:p>
    <w:p>
      <w:pPr>
        <w:pStyle w:val="TextBody"/>
        <w:bidi w:val="0"/>
        <w:jc w:val="center"/>
        <w:rPr>
          <w:rFonts w:ascii="Times New Roman" w:hAnsi="Times New Roman"/>
          <w:b/>
          <w:color w:val="000000"/>
          <w:sz w:val="17"/>
        </w:rPr>
      </w:pPr>
      <w:r>
        <w:rPr>
          <w:rFonts w:ascii="Times New Roman" w:hAnsi="Times New Roman"/>
          <w:b/>
          <w:color w:val="000000"/>
          <w:sz w:val="17"/>
        </w:rPr>
        <w:t>12351 High Bluff Drive, Suite 200</w:t>
      </w:r>
    </w:p>
    <w:p>
      <w:pPr>
        <w:pStyle w:val="TextBody"/>
        <w:bidi w:val="0"/>
        <w:jc w:val="center"/>
        <w:rPr>
          <w:rFonts w:ascii="Times New Roman" w:hAnsi="Times New Roman"/>
          <w:b/>
          <w:color w:val="000000"/>
          <w:sz w:val="17"/>
        </w:rPr>
      </w:pPr>
      <w:r>
        <w:rPr>
          <w:rFonts w:ascii="Times New Roman" w:hAnsi="Times New Roman"/>
          <w:b/>
          <w:color w:val="000000"/>
          <w:sz w:val="17"/>
        </w:rPr>
        <w:t>San Diego, CA 92130</w:t>
        <w:br/>
        <w:t>(858) 720-5100</w:t>
      </w:r>
    </w:p>
    <w:p>
      <w:pPr>
        <w:pStyle w:val="TextBody"/>
        <w:bidi w:val="0"/>
        <w:jc w:val="center"/>
        <w:rPr/>
      </w:pPr>
      <w:r>
        <w:rPr/>
        <w:t> </w:t>
      </w:r>
    </w:p>
    <w:p>
      <w:pPr>
        <w:pStyle w:val="TextBody"/>
        <w:pBdr>
          <w:top w:val="single" w:sz="6" w:space="1" w:color="000000"/>
        </w:pBdr>
        <w:bidi w:val="0"/>
        <w:jc w:val="center"/>
        <w:rPr/>
      </w:pPr>
      <w:r>
        <w:rPr/>
        <w:t> </w:t>
      </w:r>
    </w:p>
    <w:p>
      <w:pPr>
        <w:pStyle w:val="TextBody"/>
        <w:bidi w:val="0"/>
        <w:spacing w:before="60" w:after="283"/>
        <w:jc w:val="both"/>
        <w:rPr>
          <w:rFonts w:ascii="Times New Roman" w:hAnsi="Times New Roman"/>
          <w:sz w:val="20"/>
        </w:rPr>
      </w:pPr>
      <w:r>
        <w:rPr>
          <w:rFonts w:ascii="Times New Roman" w:hAnsi="Times New Roman"/>
          <w:b/>
          <w:color w:val="000000"/>
          <w:sz w:val="17"/>
        </w:rPr>
        <w:t xml:space="preserve">APPROXIMATE DATE OF COMMENCEMENT OF PROPOSED SALE TO THE PUBLIC: </w:t>
      </w:r>
      <w:r>
        <w:rPr>
          <w:rFonts w:ascii="Times New Roman" w:hAnsi="Times New Roman"/>
          <w:color w:val="000000"/>
          <w:sz w:val="17"/>
        </w:rPr>
        <w:t>From time to time after the effective date of this registration statement.</w:t>
      </w:r>
    </w:p>
    <w:p>
      <w:pPr>
        <w:pStyle w:val="TextBody"/>
        <w:bidi w:val="0"/>
        <w:spacing w:before="60" w:after="283"/>
        <w:jc w:val="both"/>
        <w:rPr>
          <w:rFonts w:ascii="Times New Roman" w:hAnsi="Times New Roman"/>
          <w:color w:val="000000"/>
          <w:sz w:val="17"/>
        </w:rPr>
      </w:pPr>
      <w:r>
        <w:rPr>
          <w:rFonts w:ascii="Times New Roman" w:hAnsi="Times New Roman"/>
          <w:color w:val="000000"/>
          <w:sz w:val="17"/>
        </w:rPr>
        <w:t>If the only securities being registered on this Form are being offered pursuant to dividend or interest reinvestment plans, please check the following box. ☐</w:t>
      </w:r>
    </w:p>
    <w:p>
      <w:pPr>
        <w:pStyle w:val="TextBody"/>
        <w:bidi w:val="0"/>
        <w:spacing w:before="60" w:after="283"/>
        <w:jc w:val="both"/>
        <w:rPr>
          <w:rFonts w:ascii="Times New Roman" w:hAnsi="Times New Roman"/>
          <w:color w:val="000000"/>
          <w:sz w:val="17"/>
        </w:rPr>
      </w:pPr>
      <w:r>
        <w:rPr>
          <w:rFonts w:ascii="Times New Roman" w:hAnsi="Times New Roman"/>
          <w:color w:val="000000"/>
          <w:sz w:val="17"/>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60" w:after="283"/>
        <w:jc w:val="both"/>
        <w:rPr>
          <w:rFonts w:ascii="Times New Roman" w:hAnsi="Times New Roman"/>
          <w:color w:val="000000"/>
          <w:sz w:val="17"/>
        </w:rPr>
      </w:pPr>
      <w:r>
        <w:rPr>
          <w:rFonts w:ascii="Times New Roman" w:hAnsi="Times New Roman"/>
          <w:color w:val="000000"/>
          <w:sz w:val="17"/>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60" w:after="283"/>
        <w:jc w:val="both"/>
        <w:rPr>
          <w:rFonts w:ascii="Times New Roman" w:hAnsi="Times New Roman"/>
          <w:color w:val="000000"/>
          <w:sz w:val="17"/>
        </w:rPr>
      </w:pPr>
      <w:r>
        <w:rPr>
          <w:rFonts w:ascii="Times New Roman" w:hAnsi="Times New Roman"/>
          <w:color w:val="000000"/>
          <w:sz w:val="17"/>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60" w:after="283"/>
        <w:jc w:val="both"/>
        <w:rPr>
          <w:rFonts w:ascii="Times New Roman" w:hAnsi="Times New Roman"/>
          <w:color w:val="000000"/>
          <w:sz w:val="17"/>
        </w:rPr>
      </w:pPr>
      <w:r>
        <w:rPr>
          <w:rFonts w:ascii="Times New Roman" w:hAnsi="Times New Roman"/>
          <w:color w:val="000000"/>
          <w:sz w:val="17"/>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60" w:after="283"/>
        <w:jc w:val="both"/>
        <w:rPr>
          <w:rFonts w:ascii="Times New Roman" w:hAnsi="Times New Roman"/>
          <w:color w:val="000000"/>
          <w:sz w:val="17"/>
        </w:rPr>
      </w:pPr>
      <w:r>
        <w:rPr>
          <w:rFonts w:ascii="Times New Roman" w:hAnsi="Times New Roman"/>
          <w:color w:val="000000"/>
          <w:sz w:val="17"/>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60" w:after="283"/>
        <w:jc w:val="both"/>
        <w:rPr>
          <w:rFonts w:ascii="Times New Roman" w:hAnsi="Times New Roman"/>
          <w:color w:val="000000"/>
          <w:sz w:val="17"/>
        </w:rPr>
      </w:pPr>
      <w:r>
        <w:rPr>
          <w:rFonts w:ascii="Times New Roman" w:hAnsi="Times New Roman"/>
          <w:color w:val="000000"/>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both"/>
        <w:rPr/>
      </w:pPr>
      <w:r>
        <w:rPr/>
        <w:t> </w:t>
      </w:r>
    </w:p>
    <w:tbl>
      <w:tblPr>
        <w:tblW w:w="4661" w:type="dxa"/>
        <w:jc w:val="left"/>
        <w:tblInd w:w="0" w:type="dxa"/>
        <w:tblLayout w:type="fixed"/>
        <w:tblCellMar>
          <w:top w:w="28" w:type="dxa"/>
          <w:left w:w="28" w:type="dxa"/>
          <w:bottom w:w="28" w:type="dxa"/>
          <w:right w:w="28" w:type="dxa"/>
        </w:tblCellMar>
      </w:tblPr>
      <w:tblGrid>
        <w:gridCol w:w="1666"/>
        <w:gridCol w:w="146"/>
        <w:gridCol w:w="316"/>
        <w:gridCol w:w="2026"/>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both"/>
        <w:rPr/>
      </w:pPr>
      <w:r>
        <w:rPr/>
        <w:t> </w:t>
      </w:r>
    </w:p>
    <w:p>
      <w:pPr>
        <w:pStyle w:val="TextBody"/>
        <w:bidi w:val="0"/>
        <w:jc w:val="both"/>
        <w:rPr>
          <w:rFonts w:ascii="Times New Roman" w:hAnsi="Times New Roman"/>
          <w:color w:val="000000"/>
          <w:sz w:val="17"/>
        </w:rPr>
      </w:pPr>
      <w:r>
        <w:rPr>
          <w:rFonts w:ascii="Times New Roman" w:hAnsi="Times New Roman"/>
          <w:color w:val="000000"/>
          <w:sz w:val="17"/>
        </w:rPr>
        <w:t>If an emerging growth company, indicate by check mark if the registrant has elected not to use the extended transition period for complying with any new or revised financial accounting standards provided pursuant to Section 7(a)(2)(B) of Securities Act.  ☒</w:t>
      </w:r>
    </w:p>
    <w:p>
      <w:pPr>
        <w:pStyle w:val="TextBody"/>
        <w:bidi w:val="0"/>
        <w:jc w:val="center"/>
        <w:rPr/>
      </w:pPr>
      <w:r>
        <w:rPr/>
        <w:t> </w:t>
      </w:r>
    </w:p>
    <w:p>
      <w:pPr>
        <w:pStyle w:val="TextBody"/>
        <w:pBdr>
          <w:top w:val="single" w:sz="6" w:space="1" w:color="000000"/>
        </w:pBdr>
        <w:bidi w:val="0"/>
        <w:jc w:val="center"/>
        <w:rPr/>
      </w:pPr>
      <w:r>
        <w:rPr/>
        <w:t> </w:t>
      </w:r>
    </w:p>
    <w:p>
      <w:pPr>
        <w:pStyle w:val="TextBody"/>
        <w:bidi w:val="0"/>
        <w:jc w:val="both"/>
        <w:rPr>
          <w:rFonts w:ascii="Times New Roman" w:hAnsi="Times New Roman"/>
          <w:b/>
          <w:color w:val="000000"/>
          <w:sz w:val="17"/>
        </w:rPr>
      </w:pPr>
      <w:r>
        <w:rPr>
          <w:rFonts w:ascii="Times New Roman" w:hAnsi="Times New Roman"/>
          <w:b/>
          <w:color w:val="000000"/>
          <w:sz w:val="17"/>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FF4338"/>
          <w:sz w:val="20"/>
        </w:rPr>
      </w:pPr>
      <w:r>
        <w:rPr>
          <w:rFonts w:ascii="Times New Roman" w:hAnsi="Times New Roman"/>
          <w:b/>
          <w:color w:val="FF4338"/>
          <w:sz w:val="20"/>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pStyle w:val="TextBody"/>
        <w:bidi w:val="0"/>
        <w:spacing w:before="240" w:after="283"/>
        <w:jc w:val="center"/>
        <w:rPr>
          <w:rFonts w:ascii="Times New Roman" w:hAnsi="Times New Roman"/>
          <w:b/>
          <w:color w:val="FF4338"/>
          <w:sz w:val="20"/>
        </w:rPr>
      </w:pPr>
      <w:r>
        <w:rPr>
          <w:rFonts w:ascii="Times New Roman" w:hAnsi="Times New Roman"/>
          <w:b/>
          <w:color w:val="FF4338"/>
          <w:sz w:val="20"/>
        </w:rPr>
        <w:t>Subject to Completion, dated August 14, 2026</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PROSPECTUS</w:t>
      </w:r>
    </w:p>
    <w:p>
      <w:pPr>
        <w:pStyle w:val="TextBody"/>
        <w:bidi w:val="0"/>
        <w:jc w:val="center"/>
        <w:rPr/>
      </w:pPr>
      <w:r>
        <w:rPr/>
        <w:drawing>
          <wp:inline distT="0" distB="0" distL="0" distR="0">
            <wp:extent cx="2409825"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09825" cy="476250"/>
                    </a:xfrm>
                    <a:prstGeom prst="rect">
                      <a:avLst/>
                    </a:prstGeom>
                  </pic:spPr>
                </pic:pic>
              </a:graphicData>
            </a:graphic>
          </wp:inline>
        </w:drawing>
      </w:r>
    </w:p>
    <w:p>
      <w:pPr>
        <w:pStyle w:val="TextBody"/>
        <w:bidi w:val="0"/>
        <w:spacing w:before="240" w:after="283"/>
        <w:jc w:val="center"/>
        <w:rPr>
          <w:rFonts w:ascii="Times New Roman" w:hAnsi="Times New Roman"/>
          <w:b/>
          <w:color w:val="000000"/>
          <w:sz w:val="28"/>
        </w:rPr>
      </w:pPr>
      <w:r>
        <w:rPr>
          <w:rFonts w:ascii="Times New Roman" w:hAnsi="Times New Roman"/>
          <w:b/>
          <w:color w:val="000000"/>
          <w:sz w:val="28"/>
        </w:rPr>
        <w:t>$250,000,000</w:t>
      </w:r>
    </w:p>
    <w:p>
      <w:pPr>
        <w:pStyle w:val="TextBody"/>
        <w:bidi w:val="0"/>
        <w:spacing w:before="240" w:after="283"/>
        <w:jc w:val="center"/>
        <w:rPr>
          <w:rFonts w:ascii="Times New Roman" w:hAnsi="Times New Roman"/>
          <w:b/>
          <w:color w:val="000000"/>
          <w:sz w:val="28"/>
        </w:rPr>
      </w:pPr>
      <w:r>
        <w:rPr>
          <w:rFonts w:ascii="Times New Roman" w:hAnsi="Times New Roman"/>
          <w:b/>
          <w:color w:val="000000"/>
          <w:sz w:val="28"/>
        </w:rPr>
        <w:t>Common Stock</w:t>
        <w:br/>
        <w:t>Preferred Stock</w:t>
        <w:br/>
        <w:t>Debt Securities</w:t>
        <w:br/>
        <w:t>Warrants</w:t>
        <w:br/>
        <w:t>Units</w:t>
      </w:r>
    </w:p>
    <w:p>
      <w:pPr>
        <w:pStyle w:val="TextBody"/>
        <w:pBdr>
          <w:bottom w:val="single" w:sz="4" w:space="1" w:color="000000"/>
        </w:pBdr>
        <w:bidi w:val="0"/>
        <w:spacing w:before="120" w:after="283"/>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offer and sell up to $250,000,000 in the aggregate of the securities identified above from time to time in one or more offerings. This prospectus provides you with a general description of the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together with the documents we incorporate by reference herein and therein, before you invest in any of our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pStyle w:val="TextBody"/>
        <w:pBdr>
          <w:bottom w:val="single" w:sz="4" w:space="1" w:color="000000"/>
        </w:pBdr>
        <w:bidi w:val="0"/>
        <w:spacing w:before="120" w:after="283"/>
        <w:jc w:val="center"/>
        <w:rPr/>
      </w:pPr>
      <w:r>
        <w:rPr/>
        <w:t> </w:t>
      </w:r>
    </w:p>
    <w:p>
      <w:pPr>
        <w:pStyle w:val="TextBody"/>
        <w:bidi w:val="0"/>
        <w:spacing w:before="120" w:after="283"/>
        <w:jc w:val="left"/>
        <w:rPr/>
      </w:pPr>
      <w:r>
        <w:rPr>
          <w:rFonts w:ascii="Times New Roman" w:hAnsi="Times New Roman"/>
          <w:b/>
          <w:color w:val="000000"/>
          <w:sz w:val="20"/>
        </w:rPr>
        <w:t>INVESTING IN OUR SECURITIES INVOLVES RISKS. SEE THE “</w:t>
      </w:r>
      <w:hyperlink w:anchor="risk_factors">
        <w:r>
          <w:rPr>
            <w:rStyle w:val="InternetLink"/>
            <w:rFonts w:ascii="Times New Roman" w:hAnsi="Times New Roman"/>
            <w:b/>
            <w:color w:val="0000FF"/>
            <w:sz w:val="20"/>
            <w:u w:val="single"/>
          </w:rPr>
          <w:t>RISK FACTORS</w:t>
        </w:r>
      </w:hyperlink>
      <w:r>
        <w:rPr>
          <w:rFonts w:ascii="Times New Roman" w:hAnsi="Times New Roman"/>
          <w:color w:val="000000"/>
          <w:sz w:val="20"/>
        </w:rPr>
        <w:t xml:space="preserve">” </w:t>
      </w:r>
      <w:r>
        <w:rPr>
          <w:rFonts w:ascii="Times New Roman" w:hAnsi="Times New Roman"/>
          <w:b/>
          <w:color w:val="000000"/>
          <w:sz w:val="20"/>
        </w:rPr>
        <w:t>ON PAGE 6</w:t>
      </w:r>
      <w:r>
        <w:rPr>
          <w:rFonts w:ascii="Times New Roman" w:hAnsi="Times New Roman"/>
          <w:color w:val="000000"/>
          <w:sz w:val="20"/>
        </w:rPr>
        <w:t xml:space="preserve"> </w:t>
      </w:r>
      <w:r>
        <w:rPr>
          <w:rFonts w:ascii="Times New Roman" w:hAnsi="Times New Roman"/>
          <w:b/>
          <w:color w:val="000000"/>
          <w:sz w:val="20"/>
        </w:rPr>
        <w:t>OF THIS PROSPECTUS AND ANY SIMILAR SECTION CONTAINED IN THE APPLICABLE PROSPECTUS SUPPLEMENT CONCERNING FACTORS YOU SHOULD CONSIDER BEFORE INVESTING IN OUR SECURITIES.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common stock is listed on the Nasdaq Global Select Market under the symbol “CARL.” On August 13, 2026, the last reported sale price of our common stock on the Nasdaq Global Select Market was $13.99 per share.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Neither the Securities and Exchange Commission (the “SEC”) nor any state securities commission has approved or disapproved of these securities or passed upon the adequacy or accuracy of this prospectus. Any representation to the contrary is a criminal offense.</w:t>
      </w:r>
    </w:p>
    <w:p>
      <w:pPr>
        <w:pStyle w:val="TextBody"/>
        <w:pBdr>
          <w:bottom w:val="single" w:sz="4" w:space="1" w:color="000000"/>
        </w:pBdr>
        <w:bidi w:val="0"/>
        <w:spacing w:before="120" w:after="283"/>
        <w:jc w:val="center"/>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The date of this prospectus is ,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tx864122_1"/>
      <w:bookmarkEnd w:id="2"/>
      <w:r>
        <w:rPr>
          <w:rFonts w:ascii="Times New Roman" w:hAnsi="Times New Roman"/>
          <w:b/>
          <w:color w:val="000000"/>
          <w:sz w:val="20"/>
        </w:rPr>
        <w:t>TABLE OF CONTENTS</w:t>
      </w:r>
    </w:p>
    <w:p>
      <w:pPr>
        <w:pStyle w:val="TextBody"/>
        <w:bidi w:val="0"/>
        <w:jc w:val="left"/>
        <w:rPr/>
      </w:pPr>
      <w:r>
        <w:rPr/>
        <w:t> </w:t>
      </w:r>
    </w:p>
    <w:tbl>
      <w:tblPr>
        <w:tblW w:w="7697" w:type="dxa"/>
        <w:jc w:val="left"/>
        <w:tblInd w:w="0" w:type="dxa"/>
        <w:tblLayout w:type="fixed"/>
        <w:tblCellMar>
          <w:top w:w="28" w:type="dxa"/>
          <w:left w:w="28" w:type="dxa"/>
          <w:bottom w:w="28" w:type="dxa"/>
          <w:right w:w="28" w:type="dxa"/>
        </w:tblCellMar>
      </w:tblPr>
      <w:tblGrid>
        <w:gridCol w:w="7336"/>
        <w:gridCol w:w="361"/>
      </w:tblGrid>
      <w:tr>
        <w:trPr/>
        <w:tc>
          <w:tcPr>
            <w:tcW w:w="733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7336" w:type="dxa"/>
            <w:tcBorders/>
            <w:tcMar>
              <w:top w:w="0" w:type="dxa"/>
              <w:left w:w="0" w:type="dxa"/>
              <w:bottom w:w="0" w:type="dxa"/>
              <w:right w:w="0" w:type="dxa"/>
            </w:tcMar>
            <w:vAlign w:val="center"/>
          </w:tcPr>
          <w:p>
            <w:pPr>
              <w:pStyle w:val="TableContents"/>
              <w:bidi w:val="0"/>
              <w:spacing w:before="0" w:after="283"/>
              <w:jc w:val="left"/>
              <w:rPr/>
            </w:pPr>
            <w:hyperlink w:anchor="about_this_prospectus">
              <w:r>
                <w:rPr>
                  <w:rStyle w:val="InternetLink"/>
                  <w:rFonts w:ascii="Times New Roman" w:hAnsi="Times New Roman"/>
                  <w:color w:val="0000FF"/>
                  <w:sz w:val="20"/>
                  <w:u w:val="single"/>
                </w:rPr>
                <w:t>ABOUT THIS PROSPECTUS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7336" w:type="dxa"/>
            <w:tcBorders/>
            <w:tcMar>
              <w:top w:w="0" w:type="dxa"/>
              <w:left w:w="0" w:type="dxa"/>
              <w:bottom w:w="0" w:type="dxa"/>
              <w:right w:w="0" w:type="dxa"/>
            </w:tcMar>
            <w:vAlign w:val="center"/>
          </w:tcPr>
          <w:p>
            <w:pPr>
              <w:pStyle w:val="TableContents"/>
              <w:bidi w:val="0"/>
              <w:spacing w:before="0" w:after="283"/>
              <w:jc w:val="left"/>
              <w:rPr/>
            </w:pPr>
            <w:hyperlink w:anchor="special_note_regarding">
              <w:r>
                <w:rPr>
                  <w:rStyle w:val="InternetLink"/>
                  <w:rFonts w:ascii="Times New Roman" w:hAnsi="Times New Roman"/>
                  <w:color w:val="0000FF"/>
                  <w:sz w:val="20"/>
                  <w:u w:val="single"/>
                </w:rPr>
                <w:t>SPECIAL NOTE REGARDING FORWARD-LOOKING STATEMENTS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7336" w:type="dxa"/>
            <w:tcBorders/>
            <w:tcMar>
              <w:top w:w="0" w:type="dxa"/>
              <w:left w:w="0" w:type="dxa"/>
              <w:bottom w:w="0" w:type="dxa"/>
              <w:right w:w="0" w:type="dxa"/>
            </w:tcMar>
            <w:vAlign w:val="center"/>
          </w:tcPr>
          <w:p>
            <w:pPr>
              <w:pStyle w:val="TableContents"/>
              <w:bidi w:val="0"/>
              <w:spacing w:before="0" w:after="283"/>
              <w:jc w:val="left"/>
              <w:rPr/>
            </w:pPr>
            <w:hyperlink w:anchor="where_you_can_find_more_information">
              <w:r>
                <w:rPr>
                  <w:rStyle w:val="InternetLink"/>
                  <w:rFonts w:ascii="Times New Roman" w:hAnsi="Times New Roman"/>
                  <w:color w:val="0000FF"/>
                  <w:sz w:val="20"/>
                  <w:u w:val="single"/>
                </w:rPr>
                <w:t>WHERE YOU CAN FIND MORE INFORMATION; INCORPORATION BY REFERENCE</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336" w:type="dxa"/>
            <w:tcBorders/>
            <w:tcMar>
              <w:top w:w="0" w:type="dxa"/>
              <w:left w:w="0" w:type="dxa"/>
              <w:bottom w:w="0" w:type="dxa"/>
              <w:right w:w="0" w:type="dxa"/>
            </w:tcMar>
            <w:vAlign w:val="center"/>
          </w:tcPr>
          <w:p>
            <w:pPr>
              <w:pStyle w:val="TableContents"/>
              <w:bidi w:val="0"/>
              <w:spacing w:before="0" w:after="283"/>
              <w:jc w:val="left"/>
              <w:rPr/>
            </w:pPr>
            <w:hyperlink w:anchor="the_company">
              <w:r>
                <w:rPr>
                  <w:rStyle w:val="InternetLink"/>
                  <w:rFonts w:ascii="Times New Roman" w:hAnsi="Times New Roman"/>
                  <w:color w:val="0000FF"/>
                  <w:sz w:val="20"/>
                  <w:u w:val="single"/>
                </w:rPr>
                <w:t>THE COMPANY</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336" w:type="dxa"/>
            <w:tcBorders/>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color w:val="0000FF"/>
                  <w:sz w:val="20"/>
                  <w:u w:val="single"/>
                </w:rPr>
                <w:t>RISK FACTORS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7336" w:type="dxa"/>
            <w:tcBorders/>
            <w:tcMar>
              <w:top w:w="0" w:type="dxa"/>
              <w:left w:w="0" w:type="dxa"/>
              <w:bottom w:w="0" w:type="dxa"/>
              <w:right w:w="0" w:type="dxa"/>
            </w:tcMar>
            <w:vAlign w:val="center"/>
          </w:tcPr>
          <w:p>
            <w:pPr>
              <w:pStyle w:val="TableContents"/>
              <w:bidi w:val="0"/>
              <w:spacing w:before="0" w:after="283"/>
              <w:jc w:val="left"/>
              <w:rPr/>
            </w:pPr>
            <w:hyperlink w:anchor="use_of_proceeds">
              <w:r>
                <w:rPr>
                  <w:rStyle w:val="InternetLink"/>
                  <w:rFonts w:ascii="Times New Roman" w:hAnsi="Times New Roman"/>
                  <w:color w:val="0000FF"/>
                  <w:sz w:val="20"/>
                  <w:u w:val="single"/>
                </w:rPr>
                <w:t>USE OF PROCEEDS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7336" w:type="dxa"/>
            <w:tcBorders/>
            <w:tcMar>
              <w:top w:w="0" w:type="dxa"/>
              <w:left w:w="0" w:type="dxa"/>
              <w:bottom w:w="0" w:type="dxa"/>
              <w:right w:w="0" w:type="dxa"/>
            </w:tcMar>
            <w:vAlign w:val="center"/>
          </w:tcPr>
          <w:p>
            <w:pPr>
              <w:pStyle w:val="TableContents"/>
              <w:bidi w:val="0"/>
              <w:spacing w:before="0" w:after="283"/>
              <w:jc w:val="left"/>
              <w:rPr/>
            </w:pPr>
            <w:hyperlink w:anchor="description_of_capital_stock">
              <w:r>
                <w:rPr>
                  <w:rStyle w:val="InternetLink"/>
                  <w:rFonts w:ascii="Times New Roman" w:hAnsi="Times New Roman"/>
                  <w:color w:val="0000FF"/>
                  <w:sz w:val="20"/>
                  <w:u w:val="single"/>
                </w:rPr>
                <w:t>DESCRIPTION OF CAPITAL STOCK</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7336" w:type="dxa"/>
            <w:tcBorders/>
            <w:tcMar>
              <w:top w:w="0" w:type="dxa"/>
              <w:left w:w="0" w:type="dxa"/>
              <w:bottom w:w="0" w:type="dxa"/>
              <w:right w:w="0" w:type="dxa"/>
            </w:tcMar>
            <w:vAlign w:val="center"/>
          </w:tcPr>
          <w:p>
            <w:pPr>
              <w:pStyle w:val="TableContents"/>
              <w:bidi w:val="0"/>
              <w:spacing w:before="0" w:after="283"/>
              <w:jc w:val="left"/>
              <w:rPr/>
            </w:pPr>
            <w:hyperlink w:anchor="description_of_debt_securities">
              <w:r>
                <w:rPr>
                  <w:rStyle w:val="InternetLink"/>
                  <w:rFonts w:ascii="Times New Roman" w:hAnsi="Times New Roman"/>
                  <w:color w:val="0000FF"/>
                  <w:sz w:val="20"/>
                  <w:u w:val="single"/>
                </w:rPr>
                <w:t>DESCRIPTION OF DEBT SECURITIES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r>
      <w:tr>
        <w:trPr/>
        <w:tc>
          <w:tcPr>
            <w:tcW w:w="7336" w:type="dxa"/>
            <w:tcBorders/>
            <w:tcMar>
              <w:top w:w="0" w:type="dxa"/>
              <w:left w:w="0" w:type="dxa"/>
              <w:bottom w:w="0" w:type="dxa"/>
              <w:right w:w="0" w:type="dxa"/>
            </w:tcMar>
            <w:vAlign w:val="center"/>
          </w:tcPr>
          <w:p>
            <w:pPr>
              <w:pStyle w:val="TableContents"/>
              <w:bidi w:val="0"/>
              <w:spacing w:before="0" w:after="283"/>
              <w:jc w:val="left"/>
              <w:rPr/>
            </w:pPr>
            <w:hyperlink w:anchor="description_of_warrants">
              <w:r>
                <w:rPr>
                  <w:rStyle w:val="InternetLink"/>
                  <w:rFonts w:ascii="Times New Roman" w:hAnsi="Times New Roman"/>
                  <w:color w:val="0000FF"/>
                  <w:sz w:val="20"/>
                  <w:u w:val="single"/>
                </w:rPr>
                <w:t>DESCRIPTION OF WARRANTS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7336" w:type="dxa"/>
            <w:tcBorders/>
            <w:tcMar>
              <w:top w:w="0" w:type="dxa"/>
              <w:left w:w="0" w:type="dxa"/>
              <w:bottom w:w="0" w:type="dxa"/>
              <w:right w:w="0" w:type="dxa"/>
            </w:tcMar>
            <w:vAlign w:val="center"/>
          </w:tcPr>
          <w:p>
            <w:pPr>
              <w:pStyle w:val="TableContents"/>
              <w:bidi w:val="0"/>
              <w:spacing w:before="0" w:after="283"/>
              <w:jc w:val="left"/>
              <w:rPr/>
            </w:pPr>
            <w:hyperlink w:anchor="description_of_units">
              <w:r>
                <w:rPr>
                  <w:rStyle w:val="InternetLink"/>
                  <w:rFonts w:ascii="Times New Roman" w:hAnsi="Times New Roman"/>
                  <w:color w:val="0000FF"/>
                  <w:sz w:val="20"/>
                  <w:u w:val="single"/>
                </w:rPr>
                <w:t>DESCRIPTION OF UNITS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7336" w:type="dxa"/>
            <w:tcBorders/>
            <w:tcMar>
              <w:top w:w="0" w:type="dxa"/>
              <w:left w:w="0" w:type="dxa"/>
              <w:bottom w:w="0" w:type="dxa"/>
              <w:right w:w="0" w:type="dxa"/>
            </w:tcMar>
            <w:vAlign w:val="center"/>
          </w:tcPr>
          <w:p>
            <w:pPr>
              <w:pStyle w:val="TableContents"/>
              <w:bidi w:val="0"/>
              <w:spacing w:before="0" w:after="283"/>
              <w:jc w:val="left"/>
              <w:rPr/>
            </w:pPr>
            <w:hyperlink w:anchor="global_securities">
              <w:r>
                <w:rPr>
                  <w:rStyle w:val="InternetLink"/>
                  <w:rFonts w:ascii="Times New Roman" w:hAnsi="Times New Roman"/>
                  <w:color w:val="0000FF"/>
                  <w:sz w:val="20"/>
                  <w:u w:val="single"/>
                </w:rPr>
                <w:t>GLOBAL SECURITIES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7336" w:type="dxa"/>
            <w:tcBorders/>
            <w:tcMar>
              <w:top w:w="0" w:type="dxa"/>
              <w:left w:w="0" w:type="dxa"/>
              <w:bottom w:w="0" w:type="dxa"/>
              <w:right w:w="0" w:type="dxa"/>
            </w:tcMar>
            <w:vAlign w:val="center"/>
          </w:tcPr>
          <w:p>
            <w:pPr>
              <w:pStyle w:val="TableContents"/>
              <w:bidi w:val="0"/>
              <w:spacing w:before="0" w:after="283"/>
              <w:jc w:val="left"/>
              <w:rPr/>
            </w:pPr>
            <w:hyperlink w:anchor="experts">
              <w:r>
                <w:rPr>
                  <w:rStyle w:val="InternetLink"/>
                  <w:rFonts w:ascii="Times New Roman" w:hAnsi="Times New Roman"/>
                  <w:color w:val="0000FF"/>
                  <w:sz w:val="20"/>
                  <w:u w:val="single"/>
                </w:rPr>
                <w:t>EXPERTS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smallCaps/>
          <w:color w:val="000000"/>
          <w:sz w:val="20"/>
        </w:rPr>
      </w:pPr>
      <w:bookmarkStart w:id="3" w:name="about_this_prospectus"/>
      <w:bookmarkEnd w:id="3"/>
      <w:r>
        <w:rPr>
          <w:rFonts w:ascii="Times New Roman" w:hAnsi="Times New Roman"/>
          <w:smallCaps/>
          <w:color w:val="000000"/>
          <w:sz w:val="20"/>
        </w:rPr>
        <w:t>ABOUT THIS PROSPECTUS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prospectus is part of a registration statement that we filed with the SEC using a “shelf” registration process. By using a shelf registration statement, we may sell securities from time to time and in one or more offerings up to a total dollar amount of $250,000,000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Any such prospectus supplement or free writing prospectus may also add, update or change information contained or incorporated by reference in this prospectus with respect to that offering. If there is any inconsistency between the information in this prospectus and any applicable prospectus supplement or free writing prospectus, you should rely on the prospectus supplement or free writing prospectus, as applicable, and if any statement in one of these documents is inconsistent with a statement in another document having a later date—for example, a document incorporated by reference in this prospectus or any prospectus supplement—the statement in the document having the later date modifies or supersedes the earlier statement. Before purchasing any securities, you should carefully read both this prospectus and the applicable prospectus supplement (and any applicable free writing prospectuses), together with the additional information described under the section titled “Where You Can Find More Information; Incorporation by Reference” in this prospectus.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not authorized anyone to provide you with any information or to make any representations other than those contained in, or incorporated by reference into,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any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section titled “Risk Factors” contained in this prospectus, any applicable prospectus supplement and any applicable free writing prospectus, and under similar sections in other documents that are incorporated by reference into this prospectus. Accordingly, investors should not place undue reliance on this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we refer to “Carlsmed,” “we,” “our,” “us” and the “Company” in this prospectus, we mean Carlsmed, Inc., unless otherwise specified. When we refer to “you,” we mean the potential holders of the applicable series of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prospectus also includes trademarks, trade names, and service marks that are the property of us or other organizations. Solely for convenience, trademarks and trade names referred to in this prospectus appear without the ® or  symbols, but those references are not intended to indicate, in any way, that we will not assert, to the fullest extent under applicable law, our rights, or the right of the applicable owner will not assert its rights to these trademarks and trade names.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center"/>
        <w:rPr>
          <w:rFonts w:ascii="Times New Roman" w:hAnsi="Times New Roman"/>
          <w:smallCaps/>
          <w:color w:val="000000"/>
          <w:sz w:val="20"/>
        </w:rPr>
      </w:pPr>
      <w:bookmarkStart w:id="4" w:name="special_note_regarding"/>
      <w:bookmarkEnd w:id="4"/>
      <w:r>
        <w:rPr>
          <w:rFonts w:ascii="Times New Roman" w:hAnsi="Times New Roman"/>
          <w:smallCaps/>
          <w:color w:val="000000"/>
          <w:sz w:val="20"/>
        </w:rPr>
        <w:t>SPECIAL NOTE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prospectus and any applicable prospectus supplement or free writing prospectus, including the documents incorporated by reference herein and therein, contain forward-looking statements within the meaning of the Private Securities Litigation Reform Act of 1995 (the “Reform Act”) about us and our industry that involve substantial risks and uncertainties. All statements other than statements of historical facts contained herein or therein that are not statements of historical fact, including statements regarding our strategy, future financial condition, future operations, projected costs, prospects, plans, objectives of management, and expected market growth, are forward-looking statements. In some cases, you can identify forward-looking statements by words such as “may,” “will,” “shall,” “should,” “expects,” “plans,” “anticipates,” “could,” “intends,” “target,” “projects,” “contemplates,” “believes,” “estimates,” “predicts,” “potential,” “goal,” “objective,” “seeks,” “likely,” “ongoing,” “assumes,” “forecast,” “guidance,” “hope,” or “continue” or the negative of these words or other similar terms or expressions that concern our expectations, strategy, plans, or intentions.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read this prospectus and any applicable prospectus supplement or free writing prospectus, including the documents incorporated by reference herein and therein, completely and with the understanding that our actual results may differ materially from what we expect as expressed or implied by our forward-looking statements. In light of the significant risks and uncertainties to which our forward-looking statements are subject, you should not place undue reliance on or regard these statements as a representation or warranty by us or any other person that we will achieve our objectives and plans in any specified timeframe, or at all. We discuss many of these risks in greater detail in the documents incorporated by reference herein, including under the heading “Risk Factors” contained in this prospectus and any similar section contained in any applicable prospectus supplement or free writing prospectus.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forward-looking statements represent our estimates and assumptions only as of the date of such document, and any information incorporated by reference is accurate only as of the date of the document incorporated by reference, regardless of the time of delivery of this prospectus, the applicable prospectus supplement and any applicable free writing prospectus, or any sale of our securities. Except as required by law, we undertake no obligation to update or publicly revise any forward-looking statements, whether as a result of new information, future events or otherwise. For all forward-looking statements, we claim the protection of the safe harbor for forward-looking statements contained in the Reform 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center"/>
        <w:rPr>
          <w:rFonts w:ascii="Times New Roman" w:hAnsi="Times New Roman"/>
          <w:smallCaps/>
          <w:color w:val="000000"/>
          <w:sz w:val="20"/>
        </w:rPr>
      </w:pPr>
      <w:bookmarkStart w:id="5" w:name="where_you_can_find_more_information"/>
      <w:bookmarkEnd w:id="5"/>
      <w:r>
        <w:rPr>
          <w:rFonts w:ascii="Times New Roman" w:hAnsi="Times New Roman"/>
          <w:smallCaps/>
          <w:color w:val="000000"/>
          <w:sz w:val="20"/>
        </w:rPr>
        <w:t>WHERE YOU CAN FIND MORE INFORMATION;</w:t>
      </w:r>
    </w:p>
    <w:p>
      <w:pPr>
        <w:pStyle w:val="Heading1"/>
        <w:bidi w:val="0"/>
        <w:jc w:val="center"/>
        <w:rPr>
          <w:rFonts w:ascii="Times New Roman" w:hAnsi="Times New Roman"/>
          <w:smallCaps/>
          <w:color w:val="000000"/>
          <w:sz w:val="20"/>
        </w:rPr>
      </w:pPr>
      <w:r>
        <w:rPr>
          <w:rFonts w:ascii="Times New Roman" w:hAnsi="Times New Roman"/>
          <w:smallCaps/>
          <w:color w:val="000000"/>
          <w:sz w:val="20"/>
        </w:rPr>
        <w:t>INCORPORATION BY REFERENCE</w:t>
      </w:r>
    </w:p>
    <w:p>
      <w:pPr>
        <w:pStyle w:val="Heading2"/>
        <w:bidi w:val="0"/>
        <w:spacing w:before="240" w:after="283"/>
        <w:jc w:val="both"/>
        <w:rPr>
          <w:rFonts w:ascii="Times New Roman" w:hAnsi="Times New Roman"/>
          <w:color w:val="000000"/>
          <w:sz w:val="20"/>
        </w:rPr>
      </w:pPr>
      <w:r>
        <w:rPr>
          <w:rFonts w:ascii="Times New Roman" w:hAnsi="Times New Roman"/>
          <w:color w:val="000000"/>
          <w:sz w:val="20"/>
        </w:rPr>
        <w:t>Available Information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w:t>
      </w:r>
      <w:r>
        <w:rPr>
          <w:rFonts w:ascii="Times New Roman" w:hAnsi="Times New Roman"/>
          <w:i/>
          <w:color w:val="000000"/>
          <w:sz w:val="20"/>
        </w:rPr>
        <w:t>www.sec.gov</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Our website address is </w:t>
      </w:r>
      <w:r>
        <w:rPr>
          <w:rFonts w:ascii="Times New Roman" w:hAnsi="Times New Roman"/>
          <w:i/>
          <w:color w:val="000000"/>
          <w:sz w:val="20"/>
        </w:rPr>
        <w:t>www.carlsmed.com</w:t>
      </w:r>
      <w:r>
        <w:rPr>
          <w:rFonts w:ascii="Times New Roman" w:hAnsi="Times New Roman"/>
          <w:color w:val="000000"/>
          <w:sz w:val="20"/>
        </w:rPr>
        <w:t>. The information on, or accessible through, our website, however, is not, and should not be deemed to be, a part of this prospectus or any prospectus supplement. We have included our website address as an inactive textual reference only.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w:t>
      </w:r>
    </w:p>
    <w:p>
      <w:pPr>
        <w:pStyle w:val="Heading2"/>
        <w:bidi w:val="0"/>
        <w:spacing w:before="360" w:after="283"/>
        <w:jc w:val="both"/>
        <w:rPr>
          <w:rFonts w:ascii="Times New Roman" w:hAnsi="Times New Roman"/>
          <w:color w:val="000000"/>
          <w:sz w:val="20"/>
        </w:rPr>
      </w:pPr>
      <w:r>
        <w:rPr>
          <w:rFonts w:ascii="Times New Roman" w:hAnsi="Times New Roman"/>
          <w:color w:val="000000"/>
          <w:sz w:val="20"/>
        </w:rPr>
        <w:t>Incorporation by Reference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prospectus and any accompanying prospectus supplement incorporate by reference the documents set forth below that have previously been filed with the SEC:</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Our Annual Report on Form 10-K for the year ended December 31, 2025, filed with the SEC on </w:t>
      </w:r>
      <w:hyperlink r:id="rId3">
        <w:r>
          <w:rPr>
            <w:rStyle w:val="InternetLink"/>
            <w:rFonts w:ascii="Times New Roman" w:hAnsi="Times New Roman"/>
            <w:color w:val="0000FF"/>
            <w:sz w:val="20"/>
            <w:u w:val="single"/>
          </w:rPr>
          <w:t>February 25, 2026</w:t>
        </w:r>
      </w:hyperlink>
      <w:r>
        <w:rPr>
          <w:rFonts w:ascii="Times New Roman" w:hAnsi="Times New Roman"/>
          <w:color w:val="000000"/>
          <w:sz w:val="20"/>
        </w:rPr>
        <w: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The information specifically incorporated by reference into our Annual Report on Form 10-K from our Definitive Proxy Statement on Schedule 14A, filed with the SEC on </w:t>
      </w:r>
      <w:hyperlink r:id="rId4">
        <w:r>
          <w:rPr>
            <w:rStyle w:val="InternetLink"/>
            <w:rFonts w:ascii="Times New Roman" w:hAnsi="Times New Roman"/>
            <w:color w:val="0000FF"/>
            <w:sz w:val="20"/>
            <w:u w:val="single"/>
          </w:rPr>
          <w:t>April 22, 2026</w:t>
        </w:r>
      </w:hyperlink>
      <w:r>
        <w:rPr>
          <w:rFonts w:ascii="Times New Roman" w:hAnsi="Times New Roman"/>
          <w:color w:val="000000"/>
          <w:sz w:val="20"/>
        </w:rPr>
        <w: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Our Quarterly Reports on Form 10-Q for the quarters ended March 31, 2026 and June 30, 2026, filed with the SEC on </w:t>
      </w:r>
      <w:hyperlink r:id="rId5">
        <w:r>
          <w:rPr>
            <w:rStyle w:val="InternetLink"/>
            <w:rFonts w:ascii="Times New Roman" w:hAnsi="Times New Roman"/>
            <w:color w:val="0000FF"/>
            <w:sz w:val="20"/>
            <w:u w:val="single"/>
          </w:rPr>
          <w:t>May 5, 2026</w:t>
        </w:r>
      </w:hyperlink>
      <w:r>
        <w:rPr>
          <w:color w:val="000000"/>
        </w:rPr>
        <w:t xml:space="preserve"> </w:t>
      </w:r>
      <w:r>
        <w:rPr>
          <w:rFonts w:ascii="Times New Roman" w:hAnsi="Times New Roman"/>
          <w:color w:val="000000"/>
          <w:sz w:val="20"/>
        </w:rPr>
        <w:t xml:space="preserve">and </w:t>
      </w:r>
      <w:hyperlink r:id="rId6">
        <w:r>
          <w:rPr>
            <w:rStyle w:val="InternetLink"/>
            <w:rFonts w:ascii="Times New Roman" w:hAnsi="Times New Roman"/>
            <w:color w:val="0000FF"/>
            <w:sz w:val="20"/>
            <w:u w:val="single"/>
          </w:rPr>
          <w:t>August 5, 2026</w:t>
        </w:r>
      </w:hyperlink>
      <w:r>
        <w:rPr>
          <w:rFonts w:ascii="Times New Roman" w:hAnsi="Times New Roman"/>
          <w:color w:val="000000"/>
          <w:sz w:val="20"/>
        </w:rPr>
        <w:t>, respectively;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Our Current Report on Form 8-K filed with the SEC on </w:t>
      </w:r>
      <w:hyperlink r:id="rId7">
        <w:r>
          <w:rPr>
            <w:rStyle w:val="InternetLink"/>
            <w:rFonts w:ascii="Times New Roman" w:hAnsi="Times New Roman"/>
            <w:color w:val="0000FF"/>
            <w:sz w:val="20"/>
            <w:u w:val="single"/>
          </w:rPr>
          <w:t>June 3, 2026</w:t>
        </w:r>
      </w:hyperlink>
      <w:r>
        <w:rPr>
          <w:rFonts w:ascii="Times New Roman" w:hAnsi="Times New Roman"/>
          <w:color w:val="000000"/>
          <w:sz w:val="20"/>
        </w:rPr>
        <w:t>; 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The description of our common stock contained in our “Description of Capital Stock” filed with the SEC on February 25, 2026 as </w:t>
      </w:r>
      <w:hyperlink r:id="rId8">
        <w:r>
          <w:rPr>
            <w:rStyle w:val="InternetLink"/>
            <w:rFonts w:ascii="Times New Roman" w:hAnsi="Times New Roman"/>
            <w:color w:val="0000FF"/>
            <w:sz w:val="20"/>
            <w:u w:val="single"/>
          </w:rPr>
          <w:t>Exhibit 4.5</w:t>
        </w:r>
      </w:hyperlink>
      <w:r>
        <w:rPr>
          <w:color w:val="000000"/>
        </w:rPr>
        <w:t xml:space="preserve"> </w:t>
      </w:r>
      <w:r>
        <w:rPr>
          <w:rFonts w:ascii="Times New Roman" w:hAnsi="Times New Roman"/>
          <w:color w:val="000000"/>
          <w:sz w:val="20"/>
        </w:rPr>
        <w:t>to our Annual Report on Form 10-K for the year ended December 31, 2025, including any amendment or reports filed for the purposes of updating this description.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specifically stated to the contrary, none of the information that we disclose under Items 2.02 or 7.01 of any Current Report on Form 8-K that we may from time to time furnish to the SEC or any other document or information deemed to have been furnished and not filed with the SEC will be incorporated by reference into, or otherwise included in, this prospectus. All reports and other documents we subsequently file pursuant to Sections 13(a), 13(c), 14 or 15(d) of the Securities Exchange Act of 1934, as amended, which we refer to as the “Exchange Act” in this prospectus,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may request a free copy of any of the documents incorporated by reference in this prospectus by writing or telephoning us at the following address: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Carlsmed, Inc.</w:t>
      </w:r>
    </w:p>
    <w:p>
      <w:pPr>
        <w:pStyle w:val="TextBody"/>
        <w:bidi w:val="0"/>
        <w:jc w:val="center"/>
        <w:rPr>
          <w:rFonts w:ascii="Times New Roman" w:hAnsi="Times New Roman"/>
          <w:color w:val="000000"/>
          <w:sz w:val="20"/>
        </w:rPr>
      </w:pPr>
      <w:r>
        <w:rPr>
          <w:rFonts w:ascii="Times New Roman" w:hAnsi="Times New Roman"/>
          <w:color w:val="000000"/>
          <w:sz w:val="20"/>
        </w:rPr>
        <w:t>1800 Aston Ave., Suite 100</w:t>
      </w:r>
    </w:p>
    <w:p>
      <w:pPr>
        <w:pStyle w:val="TextBody"/>
        <w:bidi w:val="0"/>
        <w:jc w:val="center"/>
        <w:rPr>
          <w:rFonts w:ascii="Times New Roman" w:hAnsi="Times New Roman"/>
          <w:color w:val="000000"/>
          <w:sz w:val="20"/>
        </w:rPr>
      </w:pPr>
      <w:r>
        <w:rPr>
          <w:rFonts w:ascii="Times New Roman" w:hAnsi="Times New Roman"/>
          <w:color w:val="000000"/>
          <w:sz w:val="20"/>
        </w:rPr>
        <w:t>Carlsbad, CA 92008</w:t>
      </w:r>
    </w:p>
    <w:p>
      <w:pPr>
        <w:pStyle w:val="TextBody"/>
        <w:bidi w:val="0"/>
        <w:jc w:val="center"/>
        <w:rPr>
          <w:rFonts w:ascii="Times New Roman" w:hAnsi="Times New Roman"/>
          <w:color w:val="000000"/>
          <w:sz w:val="20"/>
        </w:rPr>
      </w:pPr>
      <w:r>
        <w:rPr>
          <w:rFonts w:ascii="Times New Roman" w:hAnsi="Times New Roman"/>
          <w:color w:val="000000"/>
          <w:sz w:val="20"/>
        </w:rPr>
        <w:t>(760) 766-1923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Exhibits to the filings will not be sent, however, unless those exhibits have specifically been incorporated by reference in this prospectus or any accompanying prospectus supplement.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smallCaps/>
          <w:color w:val="000000"/>
          <w:sz w:val="20"/>
        </w:rPr>
      </w:pPr>
      <w:bookmarkStart w:id="6" w:name="the_company"/>
      <w:bookmarkEnd w:id="6"/>
      <w:r>
        <w:rPr>
          <w:rFonts w:ascii="Times New Roman" w:hAnsi="Times New Roman"/>
          <w:smallCaps/>
          <w:color w:val="000000"/>
          <w:sz w:val="20"/>
        </w:rPr>
        <w:t>THE COMPANY</w:t>
      </w:r>
    </w:p>
    <w:p>
      <w:pPr>
        <w:pStyle w:val="Heading2"/>
        <w:bidi w:val="0"/>
        <w:spacing w:before="240" w:after="283"/>
        <w:jc w:val="both"/>
        <w:rPr>
          <w:rFonts w:ascii="Times New Roman" w:hAnsi="Times New Roman"/>
          <w:color w:val="000000"/>
          <w:sz w:val="20"/>
        </w:rPr>
      </w:pPr>
      <w:r>
        <w:rPr>
          <w:rFonts w:ascii="Times New Roman" w:hAnsi="Times New Roman"/>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medical technology company pioneering artificial intelligence (“AI”)-enabled personalized spine surgery solutions with a mission to improve outcomes and decrease the cost of healthcare for spine surgery and beyond.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technology is powered by AI-enabled and outcome-based algorithms that provide personalized surgical plans for spine fusion. The surgical kit delivered to customers includes aprevo interbody implants for a custom vertebral fit and personalized alignment to address each patient’s unique needs, and single-use surgical instruments. The aprevo Technology Platform supports surgeons in achieving proper spinal alignment as they seek to improve surgical outcomes for patients with degenerative disc disease, including spinal deformity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market the aprevo Technology Platform to surgeons, hospitals and ambulatory surgical centers in the United States through a combination of our sales team and independent sales agents. Our sales team consists of Area Vice Presidents, Sales Directors, Account Managers, and Strategic and National Account leadership, who are primarily responsible for promoting our platform to surgeons, supporting digital file exchange and other connectivity between our Company and hospitals, and working with hospitals to secure required approvals for our products. Our sales team is also responsible for recruiting independent sales agents who cover each aprevo surgery in the operating room.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we began commercializing the aprevo Technology Platform in 2021, we have experienced sequential quarterly and annual revenue growth from its rapid commercial adoption.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model depends on our ability to timely deliver the aprevo Technology Platform to allow surgeons to maintain surgical schedules for their patients. Our digital production system enables a short manufacturing lead time of six business days from surgeon approval of the digital surgical plans to aprevo kit delivery to the hospital. We believe that this lead time typically fits well within our customers’ requirements. Our medical devices are manufactured to our specifications by contract manufacturing organizations who meet our manufacturer qualification standards.</w:t>
      </w:r>
    </w:p>
    <w:p>
      <w:pPr>
        <w:pStyle w:val="Heading2"/>
        <w:bidi w:val="0"/>
        <w:spacing w:before="360" w:after="283"/>
        <w:jc w:val="both"/>
        <w:rPr>
          <w:rFonts w:ascii="Times New Roman" w:hAnsi="Times New Roman"/>
          <w:color w:val="000000"/>
          <w:sz w:val="20"/>
        </w:rPr>
      </w:pPr>
      <w:r>
        <w:rPr>
          <w:rFonts w:ascii="Times New Roman" w:hAnsi="Times New Roman"/>
          <w:color w:val="000000"/>
          <w:sz w:val="20"/>
        </w:rPr>
        <w:t>Corporate Information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were incorporated under the laws of the State of Delaware in June 2018. Our principal executive offices are located at 1800 Aston Ave., Suite 100, Carlsbad, CA 92008, and our telephone number is (760) 766-1923. Our corporate website address is </w:t>
      </w:r>
      <w:r>
        <w:rPr>
          <w:rFonts w:ascii="Times New Roman" w:hAnsi="Times New Roman"/>
          <w:i/>
          <w:color w:val="000000"/>
          <w:sz w:val="20"/>
        </w:rPr>
        <w:t>www.carlsmed.com</w:t>
      </w:r>
      <w:r>
        <w:rPr>
          <w:rFonts w:ascii="Times New Roman" w:hAnsi="Times New Roman"/>
          <w:color w:val="000000"/>
          <w:sz w:val="20"/>
        </w:rPr>
        <w:t>. Information contained on, or accessible through, our website shall not be deemed incorporated into and is not a part of this prospectus or the registration statement of which it forms a part. We have included our website in this prospectus solely as an inactive textual reference. You should not rely on any such information in deciding whether to purchase our securities.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smallCaps/>
          <w:color w:val="000000"/>
          <w:sz w:val="20"/>
        </w:rPr>
      </w:pPr>
      <w:bookmarkStart w:id="7" w:name="risk_factors"/>
      <w:bookmarkEnd w:id="7"/>
      <w:r>
        <w:rPr>
          <w:rFonts w:ascii="Times New Roman" w:hAnsi="Times New Roman"/>
          <w:smallCaps/>
          <w:color w:val="000000"/>
          <w:sz w:val="20"/>
        </w:rPr>
        <w:t>RISK FACTORS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Investment in any securities offered pursuant to this prospectus and the applicable prospectus supplement involves risks. You should carefully consider the risk factors incorporated by reference to our most recent Annual Report on Form 10-K, any subsequent Annual Reports on Form 10-K, Quarterly Reports on Form 10-Q, or Current Reports on Form 8-K,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may be other unknown or unpredictable clinical, regulatory, economic, business, competitive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carefully read the section entitled “Special Note Regarding Forward-Looking Statements” included in this prospectus and any similar section contained in any applicable prospectus supplement, and the documents incorporated by reference herein and therein, concerning factors you should consider before investing in our securities.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smallCaps/>
          <w:color w:val="000000"/>
          <w:sz w:val="20"/>
        </w:rPr>
      </w:pPr>
      <w:bookmarkStart w:id="8" w:name="use_of_proceeds"/>
      <w:bookmarkEnd w:id="8"/>
      <w:r>
        <w:rPr>
          <w:rFonts w:ascii="Times New Roman" w:hAnsi="Times New Roman"/>
          <w:smallCaps/>
          <w:color w:val="000000"/>
          <w:sz w:val="20"/>
        </w:rPr>
        <w:t>USE OF PROCEEDS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intend to use the net proceeds from the sale of the securities as set forth in the applicable prospectus supplement.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smallCaps/>
          <w:color w:val="000000"/>
          <w:sz w:val="20"/>
        </w:rPr>
      </w:pPr>
      <w:bookmarkStart w:id="9" w:name="description_of_capital_stock"/>
      <w:bookmarkEnd w:id="9"/>
      <w:r>
        <w:rPr>
          <w:rFonts w:ascii="Times New Roman" w:hAnsi="Times New Roman"/>
          <w:smallCaps/>
          <w:color w:val="000000"/>
          <w:sz w:val="20"/>
        </w:rPr>
        <w:t>DESCRIPTION OF CAPITAL STOCK</w:t>
      </w:r>
    </w:p>
    <w:p>
      <w:pPr>
        <w:pStyle w:val="TextBody"/>
        <w:bidi w:val="0"/>
        <w:spacing w:before="240" w:after="283"/>
        <w:jc w:val="left"/>
        <w:rPr>
          <w:rFonts w:ascii="Times New Roman" w:hAnsi="Times New Roman"/>
          <w:sz w:val="20"/>
        </w:rPr>
      </w:pPr>
      <w:r>
        <w:rPr>
          <w:rFonts w:ascii="Times New Roman" w:hAnsi="Times New Roman"/>
          <w:i/>
          <w:color w:val="000000"/>
          <w:sz w:val="20"/>
        </w:rPr>
        <w:t>The following descriptions of our capital stock and certain provisions of our Amended and Restated Certificate of Incorporation, as amended from time to time (the “Certificate of Incorporation”), Amended and Restated Bylaws, as amended from time to time (the “Bylaws”), and Amended and Restated Investors’ Rights Agreement, dated April 18, 2022, by and among Carlsmed and the investors listed therein, as amended and restated on March 12, 2024 (the “Investors’ Rights Agreement”) are only summaries and are qualified in their entirety by reference to the applicable provisions of the General Corporation Law of the State of Delaware (“DGCL”) and the full text of our Certificate of Incorporation, Bylaws, and Investors’ Rights Agreement, copies of which are incorporated by reference as exhibits to the registration statement of which this prospectus forms a part, or as exhibits to our Annual Report on Form 10-K.</w:t>
      </w:r>
      <w:r>
        <w:rPr>
          <w:rFonts w:ascii="Times New Roman" w:hAnsi="Times New Roman"/>
          <w:color w:val="000000"/>
          <w:sz w:val="20"/>
        </w:rPr>
        <w:t xml:space="preserve"> </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General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Certificate of Incorporation authorizes capital stock consisting of 600,000,000 shares of common stock, par value $0.00001 per share, and 10,000,000 shares of preferred stock, par value $0.00001 per share. </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Voting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holder of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Declaration and payment of any dividend will be subject to the discretion of our board of directors. The time and amount of dividends will be dependent upon our business prospects, results of operations, financial condition, cash requirements and availability, debt repayment obligations, capital expenditure needs, contractual restrictions, covenants in the agreements governing our future indebtedness, industry trends, the provisions of Delaware law affecting the payment of dividends and distributions to stockholders, and any other factors that our board of directors may consider relevant. We currently intend to retain all available funds and any future earnings to fund the development and growth of our business, and therefore, do not anticipate declaring or paying any cash dividends on our common stock in the foreseeable future.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Liquidation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of our liquidation, dissolution, or winding up, holders of our common stock will be entitled to share ratably in the net assets legally available for distribution to stockholders after the payment of all of our debts and other liabilities, subject to the satisfaction of any liquidation preference granted to the holders of any then outstanding shares of preferred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Rights and Preferences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Holders of our common stock have no preemptive, conversion, or subscription rights, and there are no redemption or sinking-fund provisions applicable to our common stock. The rights, preferences, and privileges of the holders of our common stock are subject to, and may be adversely affected by, the rights of the holders of shares of any series of our preferred stock that we may designate and issue in the future.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terms of our Certificate of Incorporation,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board of directors may authorize the issuance of preferred stock with voting or conversion rights that could adversely affect the voting power or other rights of the holders of common stock. The issuance of preferred stock, while providing flexibility in connection with possible acquisitions and other corporate purposes, could, among other things, have the effect of delaying, deferring, or preventing a change in control of our Company that may otherwise benefit holders of our common stock and may adversely affect the market price of the common stock and the voting and other rights of the holders of common stock. As of June 30, 2026 no shares of preferred stock were outstanding and we have no current plans to issue any shares of preferred stock.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Registration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holders of shares of our common stock are entitled to certain rights with respect to registration of such shares under the Securities Act of 1933, as amended (the “Securities Act”). These shares are referred to as registrable securities. The holders of these registrable securities possess registration rights pursuant to the terms of our Investors’ Rights Agreement and are described in additional detail below. The registration of shares of our common stock pursuant to the exercise of the registration rights described below would enable the holders to trade these shares without restriction under the Securities Act when the applicable registration statement is declared effective. We will pay the registration expenses, other than underwriting discounts, selling commissions, stock transfer taxes, fees, and disbursements, not to exceed $30,000 per registration, of more than one special counsel for the holders, and the compensation of regular employees of the company, of the shares registered pursuant to the demand, piggyback, and Form S-3 registrations described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Generally, in an underwritten offering, the managing underwriter, if any, has the right, subject to specified conditions and limitations, to limit the number of shares the holders may include. The demand, piggyback, and Form S-3 registration rights described below will terminate upon the earlier to occur of (1) the date four years after the completion of our initial public offering (“IPO”) or (2) with respect to each stockholder holding less than 1% of our outstanding capital stock, such time after the completion of the IPO at which Rule 144 of the Securities Act or another similar exemption under the Securities Act is available for the sale of all of such stockholder’s shares without limitation, during a three-month period without registration. </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Demand Registration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holders of shares of our common stock are entitled to certain demand registration rights. Beginning on the earlier of (i) March 12, 2029, and (ii) six months following the effectiveness of the IPO, investors holding, collectively, not less than 25% of registrable securities then outstanding may, with respect to not more than one such registration, request that we register all or a portion of their shares, subject to certain specified exceptions.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Piggyback Registration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that we propose to register any of our securities under the Securities Act in another offering, either for our own account or for the account of other security holders, the holders of registrable securities will be entitled to certain “piggyback” registration rights allowing them to include their shares in such registration, subject to specified conditions and limitations.</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S-3 Registration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Investors holding, collectively, not less than 30% of registrable securities then outstanding may, with respect to not more than two such registrations within any 12-month period, request that we register all or a portion of their shares on Form S-3 if we are qualified to file a registration statement on Form S-3, subject to specified exceptions. Such request for registration on Form S-3 must cover securities with aggregate proceeds, net of underwriting discounts, and expenses related to the issuance, which equal or exceed $2.0 million. The right to have such shares registered on Form S-3 is further subject to other specified conditions and limitations.</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there are no outstanding warrants to purchase shares of our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Anti-Takeover Provisions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Among other things, our Certificate of Incorporation and Bylaws: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permit our board of directors to issue up to 10,000,000 shares of preferred stock, with any rights, preferences, and privileges as they may designate;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the authorized number of directors may be changed only by resolution of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our board of directors are classified into three classes of directors, divided as nearly as equal in number as possible;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subject to the rights of any series of preferred stock to elect directors, directors may only be removed for cause, which removal may be effected, subject to any limitation imposed by law, by the holders of at least 66 2/3% of the voting power of all of our then-outstanding shares of the capital stock entitled to vote generally at an election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all vacancies, including newly created directorships, may, except as otherwise required by law, be filled by the affirmative vote of a majority of directors then in office, even if less than a quorum;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that any action to be taken by our stockholders must be effected at a duly called annual or special meeting of stockholders and not be taken by written consent or electronic transmission;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special meetings of our stockholders may be called only by our board of directors pursuant to a resolution adopted by a majority of the total number of directors constituting the board of directors, and not by our stockholders;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provide for cumulative voting rights, therefore allowing the holders of a majority of the shares of common stock entitled to vote in any election of directors to elect all of the directors standing for election, if they should so choose.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amendment of any of these provisions would require approval by the holders of at least 66 2/3% of the voting power of all of our then-outstanding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combination of these provisions makes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effect a change in control of our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control or management of our Company.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Choice of Forum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Certificate of Incorporation provides that, unless we consent in writing to the selection of an alternative forum,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any action asserting a claim against us arising pursuant to the DGCL, our Certificate of Incorporation, or our Bylaws (as either may be amended from time to time);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Certificate of Incorporation provides that the federal district courts of the United States of America are the exclusive forum for the resolution of any complaint asserting a cause of action against us or any of our directors, officers, employees, or agents and arising under the Securities Act. Nothing in our Certificate of Incorporation or Bylaws precludes stockholders that assert claims under the Exchange Act from bringing such claims in state or federal court, subject to applicable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action the subject matter of which is within the scope described above is filed in a court other than a court located within the State of Delaware (a “Foreign Action”), in the name of any stockholder, such stockholder shall be deemed to have consented to the personal jurisdiction of the state and federal courts located within the State of Delaware in connection with any action brought in any such court to enforce the applicable provisions of our Certificate of Incorporation and having service of process made upon such stockholder in any such action by service upon such stockholder’s counsel in the Foreign Action as agent for such stockholder. Although our Certificate of Incorporation contains the choice of forum provision described above, it is possible that a court could find that such a provision is inapplicable for a particular claim or action or that such provision is unenforceable.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are not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This provision also may result in increased costs for investors to bring a claim.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Section 203 of the DGCL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such date, our board of directors approved either the business combination or the transaction that resulted in the stockholder becoming an interested stockholder;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upon completion of the transaction that resulted in the stockholder becoming an interested stockholder, the interested stockholder owned at least 85% of our voting stock outstanding at the time the transaction began, excluding for purposes of determining the voting stock outstanding (but not the outstanding voting stock owned by the interested stockholder) those (i) shares owned by persons who are directors and also officers and (ii) employee stock plans in which employee participants do not have the right to determine confidentially whether shares held subject to the plan will be tendered in a tender or exchange offer;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merger or consolidation involving us and the interested stockholder;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sale, transfer, pledge, or other disposition of 10% or more of our assets involving the interested stockholder;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subject to certain exceptions, any transaction that results in the issuance or transfer by us of any of our stock to the interested stockholder;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transaction involving us that has the effect of increasing the proportionate share of our stock or any class or series of ours beneficially owned by the interested stockholder;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receipt by the interested stockholder of the benefit of any loans, advances, guarantees, pledges, or other financial benefits by or through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general, Section 203 defines an “interested stockholder” as an entity or person who, together with the person’s affiliates and associates, beneficially owns, or within three years prior to the time of determination of interested stockholder status did own, 15% or more of our outstanding voting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statute could prohibit or delay mergers or other takeover or change in control attempts and, accordingly, may discourage attempts to acquire us even though such a transaction may offer our stockholders the opportunity to sell their stock at a price above the prevailing market price.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Limitations on Liability and Indemnification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Certificate of Incorporation and Bylaws limit our directors’ and officers’ liability and provide that we shall indemnify our directors and officers to the fullest extent permitted under the DGCL. The DGCL provides that directors and officers of a corporation will not be personally liable for monetary damages for breach of their fiduciary duties as directors or officers, except for liability for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transaction from which the director or officer derives an improper personal benefit;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 or omission not in good faith or that involves intentional misconduct or a knowing violation of law;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unlawful payment of dividends or redemption of shares;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breach of a director’s or officer’s duty of loyalty to the corporation or its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limitations of liability do not apply to liabilities arising under federal securities laws and do not affect the availability of equitable remedies such as injunctive relief or rescission.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DGCL, our Certificate of Incorporation, and our Bylaws provide that we will, in certain situations, indemnify our directors and officers and may indemnify other employees and other agents, to the fullest extent permitted by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indemnified person is also entitled, subject to certain limitations, to advancement, direct payment, or reimbursement of reasonable expenses (including attorneys’ fees and disbursements) in advance of the final disposition of the proceeding.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have entered, and intend to continue to enter, into separate indemnification agreements with our directors and officers. These indemnification agreements, among other things, require us to indemnify our directors and officers for certain expenses, including attorneys’ fees, judgments, fines, and settlement amounts incurred by a director or officer in any action or proceeding arising out of their services as a director or officer, or any other company or enterprise to which the person provides services at our request.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maintain a directors’ and officers’ insurance policy pursuant to which our directors and officers are insured against liability for actions taken in their capacities as directors and officers. We believe that these provisions in our Certificate of Incorporation and Bylaws and these indemnification agreements are necessary to attract and retain qualified persons as directors and officers.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Stock Exchange Listing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is listed on Nasdaq Global Select Market under the trading symbol “CARL.”</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Transfer Agent and Registrar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transfer agent and registrar for our common stock is Computershare Trust Company, N.A. The transfer agent and registrar’s address is 150 Royall Street, Canton, Massachusetts 02021.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smallCaps/>
          <w:color w:val="000000"/>
          <w:sz w:val="20"/>
        </w:rPr>
      </w:pPr>
      <w:bookmarkStart w:id="10" w:name="description_of_debt_securities"/>
      <w:bookmarkEnd w:id="10"/>
      <w:r>
        <w:rPr>
          <w:rFonts w:ascii="Times New Roman" w:hAnsi="Times New Roman"/>
          <w:smallCaps/>
          <w:color w:val="000000"/>
          <w:sz w:val="20"/>
        </w:rPr>
        <w:t>DESCRIPTION OF DEBT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debt securities will be issued under an indenture between us and a third party to be identified therein, as trustee.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used in this section only, “Carlsmed,” “we,” “our” or “us” refer to Carlsmed, Inc., unless expressly stated or the context otherwise requires.</w:t>
      </w:r>
    </w:p>
    <w:p>
      <w:pPr>
        <w:pStyle w:val="Heading2"/>
        <w:bidi w:val="0"/>
        <w:spacing w:before="360" w:after="283"/>
        <w:jc w:val="both"/>
        <w:rPr>
          <w:rFonts w:ascii="Times New Roman" w:hAnsi="Times New Roman"/>
          <w:color w:val="000000"/>
          <w:sz w:val="20"/>
        </w:rPr>
      </w:pPr>
      <w:r>
        <w:rPr>
          <w:rFonts w:ascii="Times New Roman" w:hAnsi="Times New Roman"/>
          <w:color w:val="000000"/>
          <w:sz w:val="20"/>
        </w:rPr>
        <w:t>General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title and ranking of the debt securities (including the terms of any subordination provisions);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price or prices (expressed as a percentage of the principal amount) at which we will sell the debt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limit on the aggregate principal amount of the debt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date or dates on which the principal of the securities of the series is payable;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period or periods within which, the price or prices at which and the terms and conditions upon which we may redeem the debt securities;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dates on which and the price or prices at which we will repurchase debt securities at the option of the holders of debt securities and other detailed terms and provisions of these repurchase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denominations in which the debt securities will be issued, if other than denominations of $1,000 and any integral multiple thereof;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the debt securities will be issued in the form of certificated debt securities or global debt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portion of principal amount of the debt securities payable upon declaration of acceleration of the maturity date, if other than the principal amount;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designation of the currency, currencies or currency units in which payment of principal of, premium and interest on the debt securities will be made;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provisions relating to any security provided for the debt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addition to, deletion of or change in the covenants described in this prospectus or in the indenture with respect to the debt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depositaries, interest rate calculation agents, exchange rate calculation agents or other agents with respect to the debt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any of our direct or indirect subsidiaries will guarantee the debt securities of that series, including the terms of subordination, if any, of such guarantees.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Transfer and Exchange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debt security will be represented by either one or more global securities registered in the name of The Depository Trust Company (“DTC”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Certificated Debt Securities. 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Global Debt Securities and Book-Entry System. Each global debt security representing book-entry debt securities will be deposited with, or on behalf of, the Depositary, and registered in the name of the Depositary or a nominee of the Depositary. Please see “Global Securities.”</w:t>
      </w:r>
    </w:p>
    <w:p>
      <w:pPr>
        <w:pStyle w:val="Heading2"/>
        <w:bidi w:val="0"/>
        <w:spacing w:before="360" w:after="283"/>
        <w:jc w:val="both"/>
        <w:rPr>
          <w:rFonts w:ascii="Times New Roman" w:hAnsi="Times New Roman"/>
          <w:color w:val="000000"/>
          <w:sz w:val="20"/>
        </w:rPr>
      </w:pPr>
      <w:r>
        <w:rPr>
          <w:rFonts w:ascii="Times New Roman" w:hAnsi="Times New Roman"/>
          <w:color w:val="000000"/>
          <w:sz w:val="20"/>
        </w:rPr>
        <w:t>Covenants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set forth in the applicable prospectus supplement any restrictive covenants applicable to any issue of debt securities.</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No Protection in the Event of a Change of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pStyle w:val="Heading2"/>
        <w:bidi w:val="0"/>
        <w:spacing w:before="360" w:after="283"/>
        <w:jc w:val="both"/>
        <w:rPr>
          <w:rFonts w:ascii="Times New Roman" w:hAnsi="Times New Roman"/>
          <w:color w:val="000000"/>
          <w:sz w:val="20"/>
        </w:rPr>
      </w:pPr>
      <w:r>
        <w:rPr>
          <w:rFonts w:ascii="Times New Roman" w:hAnsi="Times New Roman"/>
          <w:color w:val="000000"/>
          <w:sz w:val="20"/>
        </w:rPr>
        <w:t>Consolidation, Merger and Sale of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consolidate with or merge with or into, or convey, transfer or lease all or substantially all of our properties and assets to any person (a “successor person”) unless: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the surviving entity or the successor person (if other than Carlsmed) is a corporation, partnership, trust or other entity organized and validly existing under the laws of any U.S. domestic jurisdiction and expressly assumes our obligations on the debt securities and under the indenture;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immediately after giving effect to the transaction, no Default or Event of Default, shall have occurred and be continuing.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Notwithstanding the above, any of our subsidiaries may consolidate with, merge into or transfer all or part of its properties to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283"/>
        <w:jc w:val="both"/>
        <w:rPr>
          <w:rFonts w:ascii="Times New Roman" w:hAnsi="Times New Roman"/>
          <w:color w:val="000000"/>
          <w:sz w:val="20"/>
        </w:rPr>
      </w:pPr>
      <w:r>
        <w:rPr>
          <w:rFonts w:ascii="Times New Roman" w:hAnsi="Times New Roman"/>
          <w:color w:val="000000"/>
          <w:sz w:val="20"/>
        </w:rPr>
        <w:t>Events of Default</w:t>
      </w:r>
    </w:p>
    <w:p>
      <w:pPr>
        <w:pStyle w:val="TextBody"/>
        <w:bidi w:val="0"/>
        <w:spacing w:before="120" w:after="283"/>
        <w:jc w:val="left"/>
        <w:rPr>
          <w:color w:val="000000"/>
        </w:rPr>
      </w:pPr>
      <w:r>
        <w:rPr>
          <w:color w:val="000000"/>
        </w:rPr>
        <w:t>“</w:t>
      </w:r>
      <w:r>
        <w:rPr>
          <w:rFonts w:ascii="Times New Roman" w:hAnsi="Times New Roman"/>
          <w:color w:val="000000"/>
          <w:sz w:val="20"/>
        </w:rPr>
        <w:t>Event of Default” means with respect to any series of debt securities, any of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default in the payment of principal of any security of that series at its maturity;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Carlsmed and the trustee receive written notice from the holders of not less than 25% in principal amount of the outstanding debt securities of that series as provided in the indenture;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voluntary or involuntary events of bankruptcy, insolvency or reorganization of Carlsmed;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other Event of Default provided with respect to debt securities of that series that is described in the applicable prospectus supplement.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holder of any debt security of any series will have any right to institute any proceeding, judicial or otherwise, with respect to the indenture or for the appointment of a receiver or trustee, or for any remedy under the indenture, unless: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that holder has previously given to the trustee written notice of a continuing Event of Default with respect to debt securities of that series;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Modification and Waiver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and the trustee may modify, amend or supplement the indenture or the debt securities of any series without the consent of any holder of any debt security: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cure any ambiguity, defect or inconsistency;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comply with covenants in the indenture described above under the heading “Consolidation, Merger and Sale of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provide for uncertificated securities in addition to or in place of certificated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add guarantees with respect to debt securities of any series or secure debt securities of any series;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surrender any of our rights or powers under the indenture;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add covenants or events of default for the benefit of the holders of debt securities of any series;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comply with the applicable procedures of the applicable depositary;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make any change that does not adversely affect the rights of any holder of debt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provide for the issuance of and establish the form and terms and conditions of debt securities of any series as permitted by the indenture;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effect the appointment of a successor trustee with respect to the debt securities of any series and to add to or change any of the provisions of the indenture to provide for or facilitate administration by more than one trustee;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comply with requirements of the SEC in order to effect or maintain the qualification of the indenture under the Trust Indenture 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 the amount of debt securities whose holders must consent to an amendment, supplement or waiver;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 the rate of or extend the time for payment of interest (including default interest) on any debt security;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 the principal of or premium on or change the fixed maturity of any debt security or reduce the amount of, or postpone the date fixed for, the payment of any sinking fund or analogous obligation with respect to any series of debt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 the principal amount of discount securities payable upon acceleration of maturity;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the principal of or premium or interest on any debt security payable in currency other than that stated in the debt security;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waive a redemption payment with respect to any debt security.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Defeasance of Debt Securities and Certain Covenants in Certain Circumstances</w:t>
      </w:r>
    </w:p>
    <w:p>
      <w:pPr>
        <w:pStyle w:val="TextBody"/>
        <w:bidi w:val="0"/>
        <w:spacing w:before="120" w:after="283"/>
        <w:jc w:val="left"/>
        <w:rPr>
          <w:rFonts w:ascii="Times New Roman" w:hAnsi="Times New Roman"/>
          <w:sz w:val="20"/>
        </w:rPr>
      </w:pPr>
      <w:r>
        <w:rPr>
          <w:rFonts w:ascii="Times New Roman" w:hAnsi="Times New Roman"/>
          <w:i/>
          <w:color w:val="000000"/>
          <w:sz w:val="20"/>
        </w:rPr>
        <w:t>Legal Defeasance</w:t>
      </w:r>
      <w:r>
        <w:rPr>
          <w:rFonts w:ascii="Times New Roman" w:hAnsi="Times New Roman"/>
          <w:color w:val="000000"/>
          <w:sz w:val="20"/>
        </w:rPr>
        <w:t>. 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certified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Defeasance of Certain Covenants</w:t>
      </w:r>
      <w:r>
        <w:rPr>
          <w:rFonts w:ascii="Times New Roman" w:hAnsi="Times New Roman"/>
          <w:color w:val="000000"/>
          <w:sz w:val="20"/>
        </w:rPr>
        <w:t>. The indenture provides that, unless otherwise provided by the terms of the applicable series of debt securities, upon compliance with certain conditions: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omission to comply with those covenants will not constitute a Default or an Event of Default with respect to the debt securities of that series, or covenant defeasance.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conditions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certified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No Personal Liability of Directors, Officers, Employees or Securityholders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However, this waiver and release may not be effective to waive liabilities under U.S. federal securities laws, and it is the view of the SEC that such a waiver is against public policy.</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Governing Law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indenture and the debt securities, including any claim or controversy arising out of or relating to the indenture or the securities, will be governed by the laws of the State of New York.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smallCaps/>
          <w:color w:val="000000"/>
          <w:sz w:val="20"/>
        </w:rPr>
      </w:pPr>
      <w:bookmarkStart w:id="11" w:name="description_of_warrants"/>
      <w:bookmarkEnd w:id="11"/>
      <w:r>
        <w:rPr>
          <w:rFonts w:ascii="Times New Roman" w:hAnsi="Times New Roman"/>
          <w:smallCaps/>
          <w:color w:val="000000"/>
          <w:sz w:val="20"/>
        </w:rPr>
        <w:t>DESCRIPTION OF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particular terms of any issue of warrants will be described in the prospectus supplement relating to the issue. Those terms may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shares of common stock or preferred stock purchasable upon the exercise of warrants to purchase such shares and the price at which such number of shares may be purchased upon such exercise;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designation, stated value and terms (including, without limitation, liquidation, dividend, conversion and voting rights) of the series of preferred stock purchasable upon exercise of warrants to purchase preferred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principal amount of debt securities that may be purchased upon exercise of a debt warrant and the exercise price for the warrants, which may be payable in cash, securities or other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date, if any, on and after which the warrants and the related debt securities, preferred stock or common stock will be separately transferable;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of any rights to redeem or call the warrants;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date on which the right to exercise the warrants will commence and the date on which the right will expire;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United States Federal income tax consequences applicable to the warrants;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additional terms of the warrants, including terms, procedures, and limitations relating to the exchange, exercise and settlement of the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Holders of equity warrants will not be entitled: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vote, consent or receive dividends;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receive notice as stockholders with respect to any meeting of stockholders for the election of our directors or any other matter;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exercise any rights as stockholders of Carlsmed.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center"/>
        <w:rPr>
          <w:rFonts w:ascii="Times New Roman" w:hAnsi="Times New Roman"/>
          <w:smallCaps/>
          <w:color w:val="000000"/>
          <w:sz w:val="20"/>
        </w:rPr>
      </w:pPr>
      <w:bookmarkStart w:id="12" w:name="description_of_units"/>
      <w:bookmarkEnd w:id="12"/>
      <w:r>
        <w:rPr>
          <w:rFonts w:ascii="Times New Roman" w:hAnsi="Times New Roman"/>
          <w:smallCaps/>
          <w:color w:val="000000"/>
          <w:sz w:val="20"/>
        </w:rPr>
        <w:t>DESCRIPTION OF UNITS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offer any units, certain terms of that series of units will be described in the applicable prospectus supplement, including, without limitation, the following, as applicable: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title of the series of units;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identification and description of the separate constituent securities comprising the units;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price or prices at which the units will be issued;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date, if any, on and after which the constituent securities comprising the units will be separately transferable;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discussion of certain United States federal income tax considerations applicable to the units;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other terms of the units and their constituent securities.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smallCaps/>
          <w:color w:val="000000"/>
          <w:sz w:val="20"/>
        </w:rPr>
      </w:pPr>
      <w:bookmarkStart w:id="13" w:name="global_securities"/>
      <w:bookmarkEnd w:id="13"/>
      <w:r>
        <w:rPr>
          <w:rFonts w:ascii="Times New Roman" w:hAnsi="Times New Roman"/>
          <w:smallCaps/>
          <w:color w:val="000000"/>
          <w:sz w:val="20"/>
        </w:rPr>
        <w:t>GLOBAL SECURITIES</w:t>
      </w:r>
    </w:p>
    <w:p>
      <w:pPr>
        <w:pStyle w:val="Heading2"/>
        <w:bidi w:val="0"/>
        <w:spacing w:before="240" w:after="283"/>
        <w:jc w:val="both"/>
        <w:rPr>
          <w:rFonts w:ascii="Times New Roman" w:hAnsi="Times New Roman"/>
          <w:color w:val="000000"/>
          <w:sz w:val="20"/>
        </w:rPr>
      </w:pPr>
      <w:r>
        <w:rPr>
          <w:rFonts w:ascii="Times New Roman" w:hAnsi="Times New Roman"/>
          <w:color w:val="000000"/>
          <w:sz w:val="20"/>
        </w:rPr>
        <w:t>Book-Entry, Delivery, and 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DTC has advised us that it 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limited-purpose trust company organized under the New York Banking Law;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“banking organization” within the meaning of the New York Banking Law;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member of the Federal Reserve System;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“clearing corporation” within the meaning of the New York Uniform Commercial Code;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“clearing agency” registered pursuant to the provisions of Section 17A of the Exchange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if not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laws of some jurisdictions may require that some purchasers of securities take physical delivery of securities in definitive form. Those laws may impair the ability to transfer or pledge beneficial interests in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noted above, beneficial owners of a particular series of securities generally will not receive certificates representing their ownership interests in those securities. However, if: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determine, in our sole discretion, not to have such securities represented by one or more global securities;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Event of Default has occurred and is continuing with respect to such series of securities,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Euroclear and Clearstream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Other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4" w:name="plan_of_distribution"/>
      <w:bookmarkEnd w:id="14"/>
      <w:r>
        <w:rPr>
          <w:rFonts w:ascii="Times New Roman" w:hAnsi="Times New Roman"/>
          <w:b/>
          <w:color w:val="000000"/>
          <w:sz w:val="20"/>
        </w:rPr>
        <w:t>PLAN OF DISTRIBUTION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a fixed price or prices, which may be changed;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market prices prevailing at the time of sale;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prices related to such prevailing market prices;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negotiated prices.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common stock will be listed on the Nasdaq Global Select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specific terms of any lock-up provisions in respect of any given offering will be described in the applicable prospectus supplement.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underwriters, dealers and agents may engage in transactions with us, or perform services for us, in the ordinary course of business for which they receive compensation.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LEGAL MATTERS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Morrison &amp; Foerster LLP will pass upon certain legal matters relating to the issuance and sale of the securities offered hereby on behalf of Carlsmed, Inc. Additional legal matters may be passed upon for us or any underwriters, dealers or agents, by counsel that we will name in the applicable prospectus supplement.</w:t>
      </w:r>
    </w:p>
    <w:p>
      <w:pPr>
        <w:pStyle w:val="Heading1"/>
        <w:bidi w:val="0"/>
        <w:spacing w:before="240" w:after="283"/>
        <w:jc w:val="center"/>
        <w:rPr>
          <w:rFonts w:ascii="Times New Roman" w:hAnsi="Times New Roman"/>
          <w:smallCaps/>
          <w:color w:val="000000"/>
          <w:sz w:val="20"/>
        </w:rPr>
      </w:pPr>
      <w:bookmarkStart w:id="15" w:name="experts"/>
      <w:bookmarkEnd w:id="15"/>
      <w:r>
        <w:rPr>
          <w:rFonts w:ascii="Times New Roman" w:hAnsi="Times New Roman"/>
          <w:smallCaps/>
          <w:color w:val="000000"/>
          <w:sz w:val="20"/>
        </w:rPr>
        <w:t>EXPERTS</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Ernst &amp; Young LLP, independent registered public accounting firm, has audited our financial statements included in our Annual Report on Form 10-K for the year ended December 31, 2025,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pStyle w:val="TextBody"/>
        <w:bidi w:val="0"/>
        <w:spacing w:before="0" w:after="20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PART II</w:t>
      </w:r>
    </w:p>
    <w:p>
      <w:pPr>
        <w:pStyle w:val="TextBody"/>
        <w:bidi w:val="0"/>
        <w:jc w:val="center"/>
        <w:rPr>
          <w:rFonts w:ascii="Times New Roman" w:hAnsi="Times New Roman"/>
          <w:b/>
          <w:color w:val="000000"/>
          <w:sz w:val="20"/>
        </w:rPr>
      </w:pPr>
      <w:r>
        <w:rPr>
          <w:rFonts w:ascii="Times New Roman" w:hAnsi="Times New Roman"/>
          <w:b/>
          <w:color w:val="000000"/>
          <w:sz w:val="20"/>
        </w:rPr>
        <w:t>INFORMATION NOT REQUIRED IN PROSPECTUS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14. Other Expenses of Issuance and Distribution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an estimate of the expenses (all of which are to be paid by the registrant) that we may incur in connection with the securities being registered hereby.</w:t>
      </w:r>
    </w:p>
    <w:p>
      <w:pPr>
        <w:pStyle w:val="TextBody"/>
        <w:bidi w:val="0"/>
        <w:jc w:val="left"/>
        <w:rPr/>
      </w:pPr>
      <w:r>
        <w:rPr/>
        <w:t> </w:t>
      </w:r>
    </w:p>
    <w:tbl>
      <w:tblPr>
        <w:tblW w:w="5306" w:type="dxa"/>
        <w:jc w:val="left"/>
        <w:tblInd w:w="0" w:type="dxa"/>
        <w:tblLayout w:type="fixed"/>
        <w:tblCellMar>
          <w:top w:w="28" w:type="dxa"/>
          <w:left w:w="28" w:type="dxa"/>
          <w:bottom w:w="28" w:type="dxa"/>
          <w:right w:w="28" w:type="dxa"/>
        </w:tblCellMar>
      </w:tblPr>
      <w:tblGrid>
        <w:gridCol w:w="3496"/>
        <w:gridCol w:w="146"/>
        <w:gridCol w:w="211"/>
        <w:gridCol w:w="931"/>
        <w:gridCol w:w="146"/>
        <w:gridCol w:w="37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 registration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FINRA filing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Nasdaq Stock Market listing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fees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Accounting fees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Blue Sky, qualification fees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 agent fees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Trustee fees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agent fees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Miscellaneous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rFonts w:ascii="Times New Roman" w:hAnsi="Times New Roman"/>
          <w:color w:val="000000"/>
          <w:sz w:val="16"/>
        </w:rPr>
      </w:pPr>
      <w:r>
        <w:rPr>
          <w:rFonts w:ascii="Times New Roman" w:hAnsi="Times New Roman"/>
          <w:color w:val="000000"/>
          <w:sz w:val="16"/>
        </w:rPr>
        <w:t>These fees are calculated based on the securities offered and the number of issuances and accordingly cannot be estimated at this time.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Item 15. Indemnification of Directors and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Subsection (a) of Section 145 of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Section 102(b)(7) of the DGCL provides that a corporation’s certificate of incorporation may contain a provision eliminating or limiting the personal liability of a director or officer to the corporation or its stockholders for monetary damages for breach of fiduciary duty as a director or officer, provided that such provision shall not eliminate or limit the liability of: (i) a director or officer for any breach of the director’s or officer’s duty of loyalty to the corporation or its stockholders, (ii) a director or officer for acts or omissions not in good faith or which involve intentional misconduct or a knowing violation of law, (iii) a director under Section 174 of the DGCL, (iv) a director or officer for any transaction from which the director or officer derived an improper personal benefit or (v) an officer in any action by or in the right of the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underwriting agreement or distribution agreement that we enter into with any underwriters or agents involved in the offering or sale of any securities registered hereby may require such underwriters or dealers to indemnify us, some or all of our directors and officers and our controlling persons, if any, for specified liabilities, which may include liabilities under the Securities Act of 1933, as amended.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our Bylaws provide that we will indemnify our directors and officers to the fullest extent permitted by the DGCL, subject to certain exceptions contained in our Bylaws. In addition, our Certificate of Incorporation provides that our directors and officers will not be personally liable to us or our stockholders for monetary damages for breach of fiduciary duty as a director or officer, except to the extent such exemption from liability or limitation thereof is not permitted under the DGCL.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entered into indemnification agreements with each of our directors and our executive officers. These agreements provide that we will indemnify each of our directors and such officers to the fullest extent permitted by law and our Certificate of Incorporation and Bylaws. We also maintain a general liability insurance policy which covers certain liabilities of directors and officers of our company arising out of claims based on acts or omissions in their capacities as directors or officers.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16.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59"/>
        <w:gridCol w:w="146"/>
        <w:gridCol w:w="5238"/>
        <w:gridCol w:w="146"/>
        <w:gridCol w:w="586"/>
        <w:gridCol w:w="146"/>
        <w:gridCol w:w="686"/>
        <w:gridCol w:w="146"/>
        <w:gridCol w:w="796"/>
        <w:gridCol w:w="146"/>
        <w:gridCol w:w="1110"/>
      </w:tblGrid>
      <w:tr>
        <w:trPr/>
        <w:tc>
          <w:tcPr>
            <w:tcW w:w="10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1059"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Number</w:t>
            </w:r>
          </w:p>
        </w:tc>
        <w:tc>
          <w:tcPr>
            <w:tcW w:w="146"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238"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360" w:type="dxa"/>
            <w:gridSpan w:val="5"/>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Incorporated by Reference</w:t>
            </w:r>
          </w:p>
        </w:tc>
        <w:tc>
          <w:tcPr>
            <w:tcW w:w="146"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10"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Filed Herewith</w:t>
            </w:r>
          </w:p>
        </w:tc>
      </w:tr>
      <w:tr>
        <w:trPr/>
        <w:tc>
          <w:tcPr>
            <w:tcW w:w="1059"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5238"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110" w:type="dxa"/>
            <w:vMerge w:val="continue"/>
            <w:tcBorders>
              <w:bottom w:val="single" w:sz="4" w:space="0" w:color="000000"/>
            </w:tcBorders>
            <w:tcMar>
              <w:top w:w="0" w:type="dxa"/>
              <w:left w:w="0" w:type="dxa"/>
              <w:right w:w="0" w:type="dxa"/>
            </w:tcMar>
            <w:vAlign w:val="center"/>
          </w:tcPr>
          <w:p>
            <w:pPr>
              <w:pStyle w:val="Normal"/>
              <w:bidi w:val="0"/>
              <w:jc w:val="left"/>
              <w:rPr/>
            </w:pPr>
            <w:r>
              <w:rPr/>
            </w:r>
          </w:p>
        </w:tc>
      </w:tr>
      <w:tr>
        <w:trPr/>
        <w:tc>
          <w:tcPr>
            <w:tcW w:w="105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1.1*</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5238"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Form of Underwriting Agreement.</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58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68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79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110" w:type="dxa"/>
            <w:tcBorders/>
            <w:tcMar>
              <w:top w:w="0" w:type="dxa"/>
              <w:left w:w="0" w:type="dxa"/>
              <w:bottom w:w="0" w:type="dxa"/>
              <w:right w:w="0" w:type="dxa"/>
            </w:tcMar>
            <w:vAlign w:val="center"/>
          </w:tcPr>
          <w:p>
            <w:pPr>
              <w:pStyle w:val="TableContents"/>
              <w:bidi w:val="0"/>
              <w:spacing w:before="40" w:after="40"/>
              <w:jc w:val="center"/>
              <w:rPr/>
            </w:pPr>
            <w:r>
              <w:rPr/>
              <w:t> </w:t>
            </w:r>
          </w:p>
        </w:tc>
      </w:tr>
      <w:tr>
        <w:trPr/>
        <w:tc>
          <w:tcPr>
            <w:tcW w:w="105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5238" w:type="dxa"/>
            <w:tcBorders/>
            <w:tcMar>
              <w:top w:w="0" w:type="dxa"/>
              <w:left w:w="0" w:type="dxa"/>
              <w:bottom w:w="0" w:type="dxa"/>
              <w:right w:w="0" w:type="dxa"/>
            </w:tcMar>
            <w:vAlign w:val="center"/>
          </w:tcPr>
          <w:p>
            <w:pPr>
              <w:pStyle w:val="TableContents"/>
              <w:bidi w:val="0"/>
              <w:spacing w:before="40" w:after="40"/>
              <w:jc w:val="left"/>
              <w:rPr/>
            </w:pPr>
            <w:hyperlink r:id="rId9">
              <w:r>
                <w:rPr>
                  <w:rStyle w:val="InternetLink"/>
                  <w:rFonts w:ascii="Times New Roman" w:hAnsi="Times New Roman"/>
                  <w:color w:val="0000FF"/>
                  <w:sz w:val="20"/>
                  <w:u w:val="single"/>
                </w:rPr>
                <w:t>Amended and Restated Certificate of Incorporation.</w:t>
              </w:r>
            </w:hyperlink>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58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68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7/24/2025</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79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110" w:type="dxa"/>
            <w:tcBorders/>
            <w:tcMar>
              <w:top w:w="0" w:type="dxa"/>
              <w:left w:w="0" w:type="dxa"/>
              <w:bottom w:w="0" w:type="dxa"/>
              <w:right w:w="0" w:type="dxa"/>
            </w:tcMar>
            <w:vAlign w:val="center"/>
          </w:tcPr>
          <w:p>
            <w:pPr>
              <w:pStyle w:val="TableContents"/>
              <w:bidi w:val="0"/>
              <w:spacing w:before="40" w:after="40"/>
              <w:jc w:val="center"/>
              <w:rPr/>
            </w:pPr>
            <w:r>
              <w:rPr/>
              <w:t> </w:t>
            </w:r>
          </w:p>
        </w:tc>
      </w:tr>
      <w:tr>
        <w:trPr/>
        <w:tc>
          <w:tcPr>
            <w:tcW w:w="105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5238" w:type="dxa"/>
            <w:tcBorders/>
            <w:tcMar>
              <w:top w:w="0" w:type="dxa"/>
              <w:left w:w="0" w:type="dxa"/>
              <w:bottom w:w="0" w:type="dxa"/>
              <w:right w:w="0" w:type="dxa"/>
            </w:tcMar>
            <w:vAlign w:val="center"/>
          </w:tcPr>
          <w:p>
            <w:pPr>
              <w:pStyle w:val="TableContents"/>
              <w:bidi w:val="0"/>
              <w:spacing w:before="40" w:after="40"/>
              <w:jc w:val="left"/>
              <w:rPr/>
            </w:pPr>
            <w:hyperlink r:id="rId10">
              <w:r>
                <w:rPr>
                  <w:rStyle w:val="InternetLink"/>
                  <w:rFonts w:ascii="Times New Roman" w:hAnsi="Times New Roman"/>
                  <w:color w:val="0000FF"/>
                  <w:sz w:val="20"/>
                  <w:u w:val="single"/>
                </w:rPr>
                <w:t>Amended and Restated Bylaws.</w:t>
              </w:r>
            </w:hyperlink>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58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68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7/24/2025</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79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110" w:type="dxa"/>
            <w:tcBorders/>
            <w:tcMar>
              <w:top w:w="0" w:type="dxa"/>
              <w:left w:w="0" w:type="dxa"/>
              <w:bottom w:w="0" w:type="dxa"/>
              <w:right w:w="0" w:type="dxa"/>
            </w:tcMar>
            <w:vAlign w:val="center"/>
          </w:tcPr>
          <w:p>
            <w:pPr>
              <w:pStyle w:val="TableContents"/>
              <w:bidi w:val="0"/>
              <w:spacing w:before="40" w:after="40"/>
              <w:jc w:val="center"/>
              <w:rPr/>
            </w:pPr>
            <w:r>
              <w:rPr/>
              <w:t> </w:t>
            </w:r>
          </w:p>
        </w:tc>
      </w:tr>
      <w:tr>
        <w:trPr/>
        <w:tc>
          <w:tcPr>
            <w:tcW w:w="105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5238" w:type="dxa"/>
            <w:tcBorders/>
            <w:tcMar>
              <w:top w:w="0" w:type="dxa"/>
              <w:left w:w="0" w:type="dxa"/>
              <w:bottom w:w="0" w:type="dxa"/>
              <w:right w:w="0" w:type="dxa"/>
            </w:tcMar>
            <w:vAlign w:val="center"/>
          </w:tcPr>
          <w:p>
            <w:pPr>
              <w:pStyle w:val="TableContents"/>
              <w:bidi w:val="0"/>
              <w:spacing w:before="40" w:after="40"/>
              <w:jc w:val="left"/>
              <w:rPr/>
            </w:pPr>
            <w:hyperlink r:id="rId11">
              <w:r>
                <w:rPr>
                  <w:rStyle w:val="InternetLink"/>
                  <w:rFonts w:ascii="Times New Roman" w:hAnsi="Times New Roman"/>
                  <w:color w:val="0000FF"/>
                  <w:sz w:val="20"/>
                  <w:u w:val="single"/>
                </w:rPr>
                <w:t>Description of Capital Stock.</w:t>
              </w:r>
            </w:hyperlink>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58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68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2/25/2026</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79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4.5</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110" w:type="dxa"/>
            <w:tcBorders/>
            <w:tcMar>
              <w:top w:w="0" w:type="dxa"/>
              <w:left w:w="0" w:type="dxa"/>
              <w:bottom w:w="0" w:type="dxa"/>
              <w:right w:w="0" w:type="dxa"/>
            </w:tcMar>
            <w:vAlign w:val="center"/>
          </w:tcPr>
          <w:p>
            <w:pPr>
              <w:pStyle w:val="TableContents"/>
              <w:bidi w:val="0"/>
              <w:spacing w:before="40" w:after="40"/>
              <w:jc w:val="center"/>
              <w:rPr/>
            </w:pPr>
            <w:r>
              <w:rPr/>
              <w:t> </w:t>
            </w:r>
          </w:p>
        </w:tc>
      </w:tr>
      <w:tr>
        <w:trPr/>
        <w:tc>
          <w:tcPr>
            <w:tcW w:w="105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5238" w:type="dxa"/>
            <w:tcBorders/>
            <w:tcMar>
              <w:top w:w="0" w:type="dxa"/>
              <w:left w:w="0" w:type="dxa"/>
              <w:bottom w:w="0" w:type="dxa"/>
              <w:right w:w="0" w:type="dxa"/>
            </w:tcMar>
            <w:vAlign w:val="center"/>
          </w:tcPr>
          <w:p>
            <w:pPr>
              <w:pStyle w:val="TableContents"/>
              <w:bidi w:val="0"/>
              <w:spacing w:before="40" w:after="40"/>
              <w:jc w:val="left"/>
              <w:rPr/>
            </w:pPr>
            <w:hyperlink r:id="rId12">
              <w:r>
                <w:rPr>
                  <w:rStyle w:val="InternetLink"/>
                  <w:rFonts w:ascii="Times New Roman" w:hAnsi="Times New Roman"/>
                  <w:color w:val="0000FF"/>
                  <w:sz w:val="20"/>
                  <w:u w:val="single"/>
                </w:rPr>
                <w:t>Specimen common stock certificate of the Registrant.</w:t>
              </w:r>
            </w:hyperlink>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58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68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6/26/2025</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79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110" w:type="dxa"/>
            <w:tcBorders/>
            <w:tcMar>
              <w:top w:w="0" w:type="dxa"/>
              <w:left w:w="0" w:type="dxa"/>
              <w:bottom w:w="0" w:type="dxa"/>
              <w:right w:w="0" w:type="dxa"/>
            </w:tcMar>
            <w:vAlign w:val="center"/>
          </w:tcPr>
          <w:p>
            <w:pPr>
              <w:pStyle w:val="TableContents"/>
              <w:bidi w:val="0"/>
              <w:spacing w:before="40" w:after="40"/>
              <w:jc w:val="center"/>
              <w:rPr/>
            </w:pPr>
            <w:r>
              <w:rPr/>
              <w:t> </w:t>
            </w:r>
          </w:p>
        </w:tc>
      </w:tr>
      <w:tr>
        <w:trPr/>
        <w:tc>
          <w:tcPr>
            <w:tcW w:w="105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5238" w:type="dxa"/>
            <w:tcBorders/>
            <w:tcMar>
              <w:top w:w="0" w:type="dxa"/>
              <w:left w:w="0" w:type="dxa"/>
              <w:bottom w:w="0" w:type="dxa"/>
              <w:right w:w="0" w:type="dxa"/>
            </w:tcMar>
            <w:vAlign w:val="center"/>
          </w:tcPr>
          <w:p>
            <w:pPr>
              <w:pStyle w:val="TableContents"/>
              <w:bidi w:val="0"/>
              <w:spacing w:before="40" w:after="40"/>
              <w:jc w:val="left"/>
              <w:rPr/>
            </w:pPr>
            <w:hyperlink r:id="rId13">
              <w:r>
                <w:rPr>
                  <w:rStyle w:val="InternetLink"/>
                  <w:rFonts w:ascii="Times New Roman" w:hAnsi="Times New Roman"/>
                  <w:color w:val="000080"/>
                  <w:sz w:val="20"/>
                  <w:u w:val="single"/>
                </w:rPr>
                <w:t>Amended and Restated Investor Rights Agreement by and among the Registrant and certain of its stockholders, dated March 12, 2024</w:t>
              </w:r>
            </w:hyperlink>
            <w:hyperlink r:id="rId14">
              <w:r>
                <w:rPr>
                  <w:rStyle w:val="InternetLink"/>
                  <w:rFonts w:ascii="Times New Roman" w:hAnsi="Times New Roman"/>
                  <w:color w:val="000080"/>
                  <w:sz w:val="20"/>
                  <w:u w:val="single"/>
                </w:rPr>
                <w:t>.</w:t>
              </w:r>
            </w:hyperlink>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58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68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6/26/2025</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79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4.5</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110" w:type="dxa"/>
            <w:tcBorders/>
            <w:tcMar>
              <w:top w:w="0" w:type="dxa"/>
              <w:left w:w="0" w:type="dxa"/>
              <w:bottom w:w="0" w:type="dxa"/>
              <w:right w:w="0" w:type="dxa"/>
            </w:tcMar>
            <w:vAlign w:val="center"/>
          </w:tcPr>
          <w:p>
            <w:pPr>
              <w:pStyle w:val="TableContents"/>
              <w:bidi w:val="0"/>
              <w:spacing w:before="40" w:after="40"/>
              <w:jc w:val="center"/>
              <w:rPr/>
            </w:pPr>
            <w:r>
              <w:rPr/>
              <w:t> </w:t>
            </w:r>
          </w:p>
        </w:tc>
      </w:tr>
      <w:tr>
        <w:trPr/>
        <w:tc>
          <w:tcPr>
            <w:tcW w:w="105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5238"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Form of Preferred Stock Certificate.</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58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68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79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110" w:type="dxa"/>
            <w:tcBorders/>
            <w:tcMar>
              <w:top w:w="0" w:type="dxa"/>
              <w:left w:w="0" w:type="dxa"/>
              <w:bottom w:w="0" w:type="dxa"/>
              <w:right w:w="0" w:type="dxa"/>
            </w:tcMar>
            <w:vAlign w:val="center"/>
          </w:tcPr>
          <w:p>
            <w:pPr>
              <w:pStyle w:val="TableContents"/>
              <w:bidi w:val="0"/>
              <w:spacing w:before="40" w:after="40"/>
              <w:jc w:val="center"/>
              <w:rPr/>
            </w:pPr>
            <w:r>
              <w:rPr/>
              <w:t> </w:t>
            </w:r>
          </w:p>
        </w:tc>
      </w:tr>
      <w:tr>
        <w:trPr/>
        <w:tc>
          <w:tcPr>
            <w:tcW w:w="105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4.5</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5238" w:type="dxa"/>
            <w:tcBorders/>
            <w:tcMar>
              <w:top w:w="0" w:type="dxa"/>
              <w:left w:w="0" w:type="dxa"/>
              <w:bottom w:w="0" w:type="dxa"/>
              <w:right w:w="0" w:type="dxa"/>
            </w:tcMar>
            <w:vAlign w:val="center"/>
          </w:tcPr>
          <w:p>
            <w:pPr>
              <w:pStyle w:val="TableContents"/>
              <w:bidi w:val="0"/>
              <w:spacing w:before="40" w:after="40"/>
              <w:jc w:val="left"/>
              <w:rPr/>
            </w:pPr>
            <w:hyperlink w:anchor="carl-ex4_5.htm">
              <w:r>
                <w:rPr>
                  <w:rStyle w:val="InternetLink"/>
                  <w:rFonts w:ascii="Times New Roman" w:hAnsi="Times New Roman"/>
                  <w:color w:val="0000FF"/>
                  <w:sz w:val="20"/>
                  <w:u w:val="single"/>
                </w:rPr>
                <w:t>Form of Indenture.</w:t>
              </w:r>
            </w:hyperlink>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58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68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79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110"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X</w:t>
            </w:r>
          </w:p>
        </w:tc>
      </w:tr>
      <w:tr>
        <w:trPr/>
        <w:tc>
          <w:tcPr>
            <w:tcW w:w="105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4.6*</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5238"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Form of Debt Security.</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58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68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79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110" w:type="dxa"/>
            <w:tcBorders/>
            <w:tcMar>
              <w:top w:w="0" w:type="dxa"/>
              <w:left w:w="0" w:type="dxa"/>
              <w:bottom w:w="0" w:type="dxa"/>
              <w:right w:w="0" w:type="dxa"/>
            </w:tcMar>
            <w:vAlign w:val="center"/>
          </w:tcPr>
          <w:p>
            <w:pPr>
              <w:pStyle w:val="TableContents"/>
              <w:bidi w:val="0"/>
              <w:spacing w:before="40" w:after="40"/>
              <w:jc w:val="center"/>
              <w:rPr/>
            </w:pPr>
            <w:r>
              <w:rPr/>
              <w:t> </w:t>
            </w:r>
          </w:p>
        </w:tc>
      </w:tr>
      <w:tr>
        <w:trPr/>
        <w:tc>
          <w:tcPr>
            <w:tcW w:w="105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4.7*</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5238"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Form of Warrant.</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58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68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79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110" w:type="dxa"/>
            <w:tcBorders/>
            <w:tcMar>
              <w:top w:w="0" w:type="dxa"/>
              <w:left w:w="0" w:type="dxa"/>
              <w:bottom w:w="0" w:type="dxa"/>
              <w:right w:w="0" w:type="dxa"/>
            </w:tcMar>
            <w:vAlign w:val="center"/>
          </w:tcPr>
          <w:p>
            <w:pPr>
              <w:pStyle w:val="TableContents"/>
              <w:bidi w:val="0"/>
              <w:spacing w:before="40" w:after="40"/>
              <w:jc w:val="center"/>
              <w:rPr/>
            </w:pPr>
            <w:r>
              <w:rPr/>
              <w:t> </w:t>
            </w:r>
          </w:p>
        </w:tc>
      </w:tr>
      <w:tr>
        <w:trPr/>
        <w:tc>
          <w:tcPr>
            <w:tcW w:w="105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4.8*</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5238"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Form of Warrant Agreement.</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58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68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79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110" w:type="dxa"/>
            <w:tcBorders/>
            <w:tcMar>
              <w:top w:w="0" w:type="dxa"/>
              <w:left w:w="0" w:type="dxa"/>
              <w:bottom w:w="0" w:type="dxa"/>
              <w:right w:w="0" w:type="dxa"/>
            </w:tcMar>
            <w:vAlign w:val="center"/>
          </w:tcPr>
          <w:p>
            <w:pPr>
              <w:pStyle w:val="TableContents"/>
              <w:bidi w:val="0"/>
              <w:spacing w:before="40" w:after="40"/>
              <w:jc w:val="center"/>
              <w:rPr/>
            </w:pPr>
            <w:r>
              <w:rPr/>
              <w:t> </w:t>
            </w:r>
          </w:p>
        </w:tc>
      </w:tr>
      <w:tr>
        <w:trPr/>
        <w:tc>
          <w:tcPr>
            <w:tcW w:w="105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4.9*</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5238"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Form of Unit Agreement.</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58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68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79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110" w:type="dxa"/>
            <w:tcBorders/>
            <w:tcMar>
              <w:top w:w="0" w:type="dxa"/>
              <w:left w:w="0" w:type="dxa"/>
              <w:bottom w:w="0" w:type="dxa"/>
              <w:right w:w="0" w:type="dxa"/>
            </w:tcMar>
            <w:vAlign w:val="center"/>
          </w:tcPr>
          <w:p>
            <w:pPr>
              <w:pStyle w:val="TableContents"/>
              <w:bidi w:val="0"/>
              <w:spacing w:before="40" w:after="40"/>
              <w:jc w:val="center"/>
              <w:rPr/>
            </w:pPr>
            <w:r>
              <w:rPr/>
              <w:t> </w:t>
            </w:r>
          </w:p>
        </w:tc>
      </w:tr>
      <w:tr>
        <w:trPr/>
        <w:tc>
          <w:tcPr>
            <w:tcW w:w="105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5238" w:type="dxa"/>
            <w:tcBorders/>
            <w:tcMar>
              <w:top w:w="0" w:type="dxa"/>
              <w:left w:w="0" w:type="dxa"/>
              <w:bottom w:w="0" w:type="dxa"/>
              <w:right w:w="0" w:type="dxa"/>
            </w:tcMar>
            <w:vAlign w:val="center"/>
          </w:tcPr>
          <w:p>
            <w:pPr>
              <w:pStyle w:val="TableContents"/>
              <w:bidi w:val="0"/>
              <w:spacing w:before="40" w:after="40"/>
              <w:jc w:val="left"/>
              <w:rPr/>
            </w:pPr>
            <w:hyperlink w:anchor="carl-ex5_1.htm">
              <w:r>
                <w:rPr>
                  <w:rStyle w:val="InternetLink"/>
                  <w:rFonts w:ascii="Times New Roman" w:hAnsi="Times New Roman"/>
                  <w:color w:val="0000FF"/>
                  <w:sz w:val="20"/>
                  <w:u w:val="single"/>
                </w:rPr>
                <w:t>Opinion of Morrison &amp; Foerster LLP.</w:t>
              </w:r>
            </w:hyperlink>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58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68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79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110"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X</w:t>
            </w:r>
          </w:p>
        </w:tc>
      </w:tr>
      <w:tr>
        <w:trPr/>
        <w:tc>
          <w:tcPr>
            <w:tcW w:w="105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5238" w:type="dxa"/>
            <w:tcBorders/>
            <w:tcMar>
              <w:top w:w="0" w:type="dxa"/>
              <w:left w:w="0" w:type="dxa"/>
              <w:bottom w:w="0" w:type="dxa"/>
              <w:right w:w="0" w:type="dxa"/>
            </w:tcMar>
            <w:vAlign w:val="center"/>
          </w:tcPr>
          <w:p>
            <w:pPr>
              <w:pStyle w:val="TableContents"/>
              <w:bidi w:val="0"/>
              <w:spacing w:before="40" w:after="40"/>
              <w:jc w:val="left"/>
              <w:rPr/>
            </w:pPr>
            <w:hyperlink w:anchor="carl-ex23_1.htm">
              <w:r>
                <w:rPr>
                  <w:rStyle w:val="InternetLink"/>
                  <w:rFonts w:ascii="Times New Roman" w:hAnsi="Times New Roman"/>
                  <w:color w:val="0000FF"/>
                  <w:sz w:val="20"/>
                  <w:u w:val="single"/>
                </w:rPr>
                <w:t>Consent of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58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68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79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110"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X</w:t>
            </w:r>
          </w:p>
        </w:tc>
      </w:tr>
      <w:tr>
        <w:trPr/>
        <w:tc>
          <w:tcPr>
            <w:tcW w:w="105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23.2</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5238" w:type="dxa"/>
            <w:tcBorders/>
            <w:tcMar>
              <w:top w:w="0" w:type="dxa"/>
              <w:left w:w="0" w:type="dxa"/>
              <w:bottom w:w="0" w:type="dxa"/>
              <w:right w:w="0" w:type="dxa"/>
            </w:tcMar>
            <w:vAlign w:val="center"/>
          </w:tcPr>
          <w:p>
            <w:pPr>
              <w:pStyle w:val="TableContents"/>
              <w:bidi w:val="0"/>
              <w:spacing w:before="40" w:after="40"/>
              <w:jc w:val="left"/>
              <w:rPr/>
            </w:pPr>
            <w:hyperlink w:anchor="carl-ex5_1.htm">
              <w:r>
                <w:rPr>
                  <w:rStyle w:val="InternetLink"/>
                  <w:rFonts w:ascii="Times New Roman" w:hAnsi="Times New Roman"/>
                  <w:color w:val="0000FF"/>
                  <w:sz w:val="20"/>
                  <w:u w:val="single"/>
                </w:rPr>
                <w:t>Consent of Morrison &amp; Foerster LLP (included in Exhibit 5.1).</w:t>
              </w:r>
            </w:hyperlink>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58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68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79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110"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X</w:t>
            </w:r>
          </w:p>
        </w:tc>
      </w:tr>
      <w:tr>
        <w:trPr/>
        <w:tc>
          <w:tcPr>
            <w:tcW w:w="105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24.1</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5238" w:type="dxa"/>
            <w:tcBorders/>
            <w:tcMar>
              <w:top w:w="0" w:type="dxa"/>
              <w:left w:w="0" w:type="dxa"/>
              <w:bottom w:w="0" w:type="dxa"/>
              <w:right w:w="0" w:type="dxa"/>
            </w:tcMar>
            <w:vAlign w:val="center"/>
          </w:tcPr>
          <w:p>
            <w:pPr>
              <w:pStyle w:val="TableContents"/>
              <w:bidi w:val="0"/>
              <w:spacing w:before="40" w:after="40"/>
              <w:jc w:val="left"/>
              <w:rPr/>
            </w:pPr>
            <w:hyperlink w:anchor="power_of_attorney">
              <w:r>
                <w:rPr>
                  <w:rStyle w:val="InternetLink"/>
                  <w:rFonts w:ascii="Times New Roman" w:hAnsi="Times New Roman"/>
                  <w:color w:val="0000FF"/>
                  <w:sz w:val="20"/>
                  <w:u w:val="single"/>
                </w:rPr>
                <w:t>Powers of Attorney (incorporated by reference to the signature page hereto)</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58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68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79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110"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X</w:t>
            </w:r>
          </w:p>
        </w:tc>
      </w:tr>
      <w:tr>
        <w:trPr/>
        <w:tc>
          <w:tcPr>
            <w:tcW w:w="105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25.1**</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5238"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Statement of Eligibility on Form T-1 under the Trust Indenture Act of 1939, as amended, of the trustee, as trustee under the indenture filed herewith.</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58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68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79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110" w:type="dxa"/>
            <w:tcBorders/>
            <w:tcMar>
              <w:top w:w="0" w:type="dxa"/>
              <w:left w:w="0" w:type="dxa"/>
              <w:bottom w:w="0" w:type="dxa"/>
              <w:right w:w="0" w:type="dxa"/>
            </w:tcMar>
            <w:vAlign w:val="center"/>
          </w:tcPr>
          <w:p>
            <w:pPr>
              <w:pStyle w:val="TableContents"/>
              <w:bidi w:val="0"/>
              <w:spacing w:before="40" w:after="40"/>
              <w:jc w:val="center"/>
              <w:rPr/>
            </w:pPr>
            <w:r>
              <w:rPr/>
              <w:t> </w:t>
            </w:r>
          </w:p>
        </w:tc>
      </w:tr>
      <w:tr>
        <w:trPr/>
        <w:tc>
          <w:tcPr>
            <w:tcW w:w="105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107.1</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5238" w:type="dxa"/>
            <w:tcBorders/>
            <w:tcMar>
              <w:top w:w="0" w:type="dxa"/>
              <w:left w:w="0" w:type="dxa"/>
              <w:bottom w:w="0" w:type="dxa"/>
              <w:right w:w="0" w:type="dxa"/>
            </w:tcMar>
            <w:vAlign w:val="center"/>
          </w:tcPr>
          <w:p>
            <w:pPr>
              <w:pStyle w:val="TableContents"/>
              <w:bidi w:val="0"/>
              <w:spacing w:before="40" w:after="40"/>
              <w:jc w:val="left"/>
              <w:rPr/>
            </w:pPr>
            <w:hyperlink w:anchor="carl_exfilingfees.htm">
              <w:r>
                <w:rPr>
                  <w:rStyle w:val="InternetLink"/>
                  <w:rFonts w:ascii="Times New Roman" w:hAnsi="Times New Roman"/>
                  <w:color w:val="0000FF"/>
                  <w:sz w:val="20"/>
                  <w:u w:val="single"/>
                </w:rPr>
                <w:t>Filing Fee Table.</w:t>
              </w:r>
            </w:hyperlink>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58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68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79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110"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X</w:t>
            </w:r>
          </w:p>
        </w:tc>
      </w:tr>
    </w:tbl>
    <w:p>
      <w:pPr>
        <w:pStyle w:val="TextBody"/>
        <w:bidi w:val="0"/>
        <w:jc w:val="left"/>
        <w:rPr>
          <w:rFonts w:ascii="Times New Roman" w:hAnsi="Times New Roman"/>
          <w:color w:val="000000"/>
          <w:sz w:val="20"/>
        </w:rPr>
      </w:pPr>
      <w:r>
        <w:rPr>
          <w:rFonts w:ascii="Times New Roman" w:hAnsi="Times New Roman"/>
          <w:color w:val="000000"/>
          <w:sz w:val="20"/>
        </w:rPr>
        <w:t>* To be filed by amendment or incorporated by reference in connection with the offering of the securities.</w:t>
      </w:r>
    </w:p>
    <w:p>
      <w:pPr>
        <w:pStyle w:val="TextBody"/>
        <w:bidi w:val="0"/>
        <w:jc w:val="left"/>
        <w:rPr>
          <w:rFonts w:ascii="Times New Roman" w:hAnsi="Times New Roman"/>
          <w:color w:val="000000"/>
          <w:sz w:val="20"/>
        </w:rPr>
      </w:pPr>
      <w:r>
        <w:rPr>
          <w:rFonts w:ascii="Times New Roman" w:hAnsi="Times New Roman"/>
          <w:color w:val="000000"/>
          <w:sz w:val="20"/>
        </w:rPr>
        <w:t>** To be filed, if applicable, in accordance with the requirements of Section 305(b)(2) of the Trust Indenture Act of 1939, as amended.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Item 17. Undertakings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undersigned registrant hereby undertakes: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file, during any period in which offers or sales are being made, a post-effective amendment to this registration statement: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include any prospectus required by Section 10(a)(3) of the Securities Act of 1933;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left"/>
        <w:rPr/>
      </w:pPr>
      <w:r>
        <w:rPr>
          <w:rFonts w:ascii="Times New Roman" w:hAnsi="Times New Roman"/>
          <w:color w:val="000000"/>
          <w:sz w:val="20"/>
        </w:rPr>
        <w:t xml:space="preserve">To include any material information with respect to the plan of distribution not previously disclosed in the registration statement or any material change to such information in the registration statement; </w:t>
      </w:r>
      <w:r>
        <w:rPr>
          <w:rFonts w:ascii="Times New Roman" w:hAnsi="Times New Roman"/>
          <w:i/>
          <w:color w:val="000000"/>
          <w:sz w:val="20"/>
        </w:rPr>
        <w:t>provided</w:t>
      </w:r>
      <w:r>
        <w:rPr>
          <w:rFonts w:ascii="Times New Roman" w:hAnsi="Times New Roman"/>
          <w:color w:val="000000"/>
          <w:sz w:val="20"/>
        </w:rPr>
        <w:t>,</w:t>
      </w:r>
      <w:r>
        <w:rPr>
          <w:color w:val="000000"/>
        </w:rPr>
        <w:t xml:space="preserve"> </w:t>
      </w:r>
      <w:r>
        <w:rPr>
          <w:rFonts w:ascii="Times New Roman" w:hAnsi="Times New Roman"/>
          <w:i/>
          <w:color w:val="000000"/>
          <w:sz w:val="20"/>
        </w:rPr>
        <w:t>however</w:t>
      </w:r>
      <w:r>
        <w:rPr>
          <w:rFonts w:ascii="Times New Roman" w:hAnsi="Times New Roman"/>
          <w:color w:val="000000"/>
          <w:sz w:val="20"/>
        </w:rPr>
        <w:t>, that subsections (i), (ii), and (iii) above do not apply if the information required to</w:t>
      </w:r>
      <w:r>
        <w:rPr>
          <w:color w:val="000000"/>
        </w:rPr>
        <w:t xml:space="preserve"> </w:t>
      </w:r>
      <w:r>
        <w:rPr>
          <w:rFonts w:ascii="Times New Roman" w:hAnsi="Times New Roman"/>
          <w:color w:val="000000"/>
          <w:sz w:val="20"/>
        </w:rPr>
        <w:t>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remove from registration by means of a post-effective amendment any of the securities being registered which remain unsold at the termination of the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[Reserved]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That, for the purpose of determining liability under the Securities Act of 1933 to any purchaser: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pPr>
      <w:r>
        <w:rPr>
          <w:rFonts w:ascii="Times New Roman" w:hAnsi="Times New Roman"/>
          <w:color w:val="000000"/>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preliminary prospectus or prospectus of the undersigned registrant relating to the offering required to be filed pursuant to Rule 424;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free writing prospectus relating to the offering prepared by or on behalf of the undersigned registrant or used or referred to by the undersigned registrant;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portion of any other free writing prospectus relating to the offering containing material information about the undersigned registrant or its securities provided by or on behalf of the undersigned registrant;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other communication that is an offer in the offering made by the undersigned registrant to the purchaser.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pPr>
      <w:r>
        <w:rPr>
          <w:rFonts w:ascii="Times New Roman" w:hAnsi="Times New Roman"/>
          <w:color w:val="000000"/>
          <w:sz w:val="20"/>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hAnsi="Times New Roman"/>
          <w:i/>
          <w:color w:val="000000"/>
          <w:sz w:val="20"/>
        </w:rPr>
        <w:t>bona fide</w:t>
      </w:r>
      <w:r>
        <w:rPr>
          <w:color w:val="000000"/>
        </w:rPr>
        <w:t xml:space="preserve"> </w:t>
      </w:r>
      <w:r>
        <w:rPr>
          <w:rFonts w:ascii="Times New Roman" w:hAnsi="Times New Roman"/>
          <w:color w:val="000000"/>
          <w:sz w:val="20"/>
        </w:rPr>
        <w:t>offering thereof.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(j)</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undersigned registrant hereby undertakes to file an application for the purpose of determining the eligibility of the trustee to act under subsection (a) of section 310 of the Trust Indenture Act, or the Act, in accordance with the rules and regulations prescribed by the SEC under section 305(b)(2) of the 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w:t>
      </w:r>
    </w:p>
    <w:p>
      <w:pPr>
        <w:pStyle w:val="TextBody"/>
        <w:bidi w:val="0"/>
        <w:jc w:val="left"/>
        <w:rPr/>
      </w:pPr>
      <w:r>
        <w:rPr/>
        <w:t> </w:t>
      </w:r>
    </w:p>
    <w:tbl>
      <w:tblPr>
        <w:tblW w:w="5568" w:type="dxa"/>
        <w:jc w:val="left"/>
        <w:tblInd w:w="0" w:type="dxa"/>
        <w:tblLayout w:type="fixed"/>
        <w:tblCellMar>
          <w:top w:w="28" w:type="dxa"/>
          <w:left w:w="28" w:type="dxa"/>
          <w:bottom w:w="28" w:type="dxa"/>
          <w:right w:w="28" w:type="dxa"/>
        </w:tblCellMar>
      </w:tblPr>
      <w:tblGrid>
        <w:gridCol w:w="1951"/>
        <w:gridCol w:w="406"/>
        <w:gridCol w:w="321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2026</w:t>
            </w:r>
          </w:p>
        </w:tc>
        <w:tc>
          <w:tcPr>
            <w:tcW w:w="361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CARLSMED, INC.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Cordonnier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Cordonnier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President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6" w:name="power_of_attorney"/>
      <w:bookmarkEnd w:id="16"/>
      <w:r>
        <w:rPr>
          <w:rFonts w:ascii="Times New Roman" w:hAnsi="Times New Roman"/>
          <w:b/>
          <w:color w:val="000000"/>
          <w:sz w:val="20"/>
        </w:rPr>
        <w:t>POWER OF ATTORNEY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KNOW ALL PERSONS BY THESE PRESENTS, that each person whose signature appears below constitutes and appoints Michael Cordonnier and Leonard Greenstein, and each of them acting individually, as his or her true and lawful attorneys-in-fact and agents, with full power of substitution and re-substitution, for him or her and in his or her name, place and stead, in any and all capacities, to file and sign any and all amendments, including post-effective amendments and any registration statement for the same offering that is to be effective under Rule 462(b) of the Securities Act, to this registration statement, with the Securities and Exchange Commission,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in accordance with the laws of the State of Delaware and applicable federal securities laws.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Act of 1933, as amended, this registration statement has been signed below by the following persons on behalf of the registrant in the capacities and on the dates indicated.</w:t>
      </w:r>
    </w:p>
    <w:p>
      <w:pPr>
        <w:pStyle w:val="TextBody"/>
        <w:bidi w:val="0"/>
        <w:jc w:val="both"/>
        <w:rPr/>
      </w:pPr>
      <w:r>
        <w:rPr/>
        <w:t> </w:t>
      </w:r>
    </w:p>
    <w:tbl>
      <w:tblPr>
        <w:tblW w:w="7918" w:type="dxa"/>
        <w:jc w:val="left"/>
        <w:tblInd w:w="0" w:type="dxa"/>
        <w:tblLayout w:type="fixed"/>
        <w:tblCellMar>
          <w:top w:w="28" w:type="dxa"/>
          <w:left w:w="28" w:type="dxa"/>
          <w:bottom w:w="28" w:type="dxa"/>
          <w:right w:w="28" w:type="dxa"/>
        </w:tblCellMar>
      </w:tblPr>
      <w:tblGrid>
        <w:gridCol w:w="2155"/>
        <w:gridCol w:w="146"/>
        <w:gridCol w:w="3826"/>
        <w:gridCol w:w="146"/>
        <w:gridCol w:w="1645"/>
      </w:tblGrid>
      <w:tr>
        <w:trPr/>
        <w:tc>
          <w:tcPr>
            <w:tcW w:w="21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r>
      <w:tr>
        <w:trPr/>
        <w:tc>
          <w:tcPr>
            <w:tcW w:w="21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Signature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45"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Times New Roman" w:hAnsi="Times New Roman"/>
                <w:b/>
                <w:color w:val="000000"/>
                <w:sz w:val="16"/>
              </w:rPr>
            </w:pPr>
            <w:r>
              <w:rPr>
                <w:rFonts w:ascii="Times New Roman" w:hAnsi="Times New Roman"/>
                <w:b/>
                <w:color w:val="000000"/>
                <w:sz w:val="16"/>
              </w:rPr>
              <w:t>Date</w:t>
            </w:r>
          </w:p>
        </w:tc>
      </w:tr>
      <w:tr>
        <w:trPr/>
        <w:tc>
          <w:tcPr>
            <w:tcW w:w="2155" w:type="dxa"/>
            <w:tcBorders>
              <w:bottom w:val="single" w:sz="6" w:space="0" w:color="000000"/>
            </w:tcBorders>
            <w:tcMar>
              <w:top w:w="0" w:type="dxa"/>
              <w:left w:w="0" w:type="dxa"/>
              <w:right w:w="0" w:type="dxa"/>
            </w:tcMar>
            <w:vAlign w:val="center"/>
          </w:tcPr>
          <w:p>
            <w:pPr>
              <w:pStyle w:val="TableContents"/>
              <w:bidi w:val="0"/>
              <w:spacing w:before="200" w:after="283"/>
              <w:ind w:left="0" w:right="0" w:firstLine="144"/>
              <w:jc w:val="left"/>
              <w:rPr>
                <w:rFonts w:ascii="Times New Roman" w:hAnsi="Times New Roman"/>
                <w:color w:val="000000"/>
                <w:sz w:val="20"/>
              </w:rPr>
            </w:pPr>
            <w:r>
              <w:rPr>
                <w:rFonts w:ascii="Times New Roman" w:hAnsi="Times New Roman"/>
                <w:color w:val="000000"/>
                <w:sz w:val="20"/>
              </w:rPr>
              <w:t>/s/ Michael Cordonnier</w:t>
            </w:r>
          </w:p>
        </w:tc>
        <w:tc>
          <w:tcPr>
            <w:tcW w:w="146" w:type="dxa"/>
            <w:tcBorders>
              <w:bottom w:val="single" w:sz="6" w:space="0" w:color="000000"/>
            </w:tcBorders>
            <w:tcMar>
              <w:top w:w="0" w:type="dxa"/>
              <w:left w:w="0" w:type="dxa"/>
              <w:right w:w="0" w:type="dxa"/>
            </w:tcMar>
            <w:vAlign w:val="center"/>
          </w:tcPr>
          <w:p>
            <w:pPr>
              <w:pStyle w:val="TableContents"/>
              <w:bidi w:val="0"/>
              <w:spacing w:before="20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200" w:after="283"/>
              <w:jc w:val="center"/>
              <w:rPr>
                <w:rFonts w:ascii="Times New Roman" w:hAnsi="Times New Roman"/>
                <w:color w:val="000000"/>
                <w:sz w:val="20"/>
              </w:rPr>
            </w:pPr>
            <w:r>
              <w:rPr>
                <w:rFonts w:ascii="Times New Roman" w:hAnsi="Times New Roman"/>
                <w:color w:val="000000"/>
                <w:sz w:val="20"/>
              </w:rPr>
              <w:t>Chief Executive Officer and President</w:t>
            </w:r>
          </w:p>
        </w:tc>
        <w:tc>
          <w:tcPr>
            <w:tcW w:w="146" w:type="dxa"/>
            <w:tcBorders/>
            <w:tcMar>
              <w:top w:w="0" w:type="dxa"/>
              <w:left w:w="0" w:type="dxa"/>
              <w:bottom w:w="0" w:type="dxa"/>
              <w:right w:w="0" w:type="dxa"/>
            </w:tcMar>
            <w:vAlign w:val="center"/>
          </w:tcPr>
          <w:p>
            <w:pPr>
              <w:pStyle w:val="TableContents"/>
              <w:bidi w:val="0"/>
              <w:spacing w:before="200" w:after="283"/>
              <w:jc w:val="center"/>
              <w:rPr/>
            </w:pPr>
            <w:r>
              <w:rPr/>
              <w:t> </w:t>
            </w:r>
          </w:p>
        </w:tc>
        <w:tc>
          <w:tcPr>
            <w:tcW w:w="1645" w:type="dxa"/>
            <w:tcBorders/>
            <w:tcMar>
              <w:top w:w="0" w:type="dxa"/>
              <w:left w:w="0" w:type="dxa"/>
              <w:bottom w:w="0" w:type="dxa"/>
              <w:right w:w="0" w:type="dxa"/>
            </w:tcMar>
            <w:vAlign w:val="center"/>
          </w:tcPr>
          <w:p>
            <w:pPr>
              <w:pStyle w:val="TableContents"/>
              <w:bidi w:val="0"/>
              <w:spacing w:before="200" w:after="283"/>
              <w:ind w:left="0" w:right="0" w:firstLine="144"/>
              <w:jc w:val="center"/>
              <w:rPr>
                <w:rFonts w:ascii="Times New Roman" w:hAnsi="Times New Roman"/>
                <w:color w:val="000000"/>
                <w:sz w:val="20"/>
              </w:rPr>
            </w:pPr>
            <w:r>
              <w:rPr>
                <w:rFonts w:ascii="Times New Roman" w:hAnsi="Times New Roman"/>
                <w:color w:val="000000"/>
                <w:sz w:val="20"/>
              </w:rPr>
              <w:t>August 14, 2026</w:t>
            </w:r>
          </w:p>
        </w:tc>
      </w:tr>
      <w:tr>
        <w:trPr/>
        <w:tc>
          <w:tcPr>
            <w:tcW w:w="2155" w:type="dxa"/>
            <w:tcBorders/>
            <w:tcMar>
              <w:top w:w="0" w:type="dxa"/>
              <w:left w:w="0" w:type="dxa"/>
              <w:bottom w:w="0" w:type="dxa"/>
              <w:right w:w="0" w:type="dxa"/>
            </w:tcMar>
            <w:vAlign w:val="center"/>
          </w:tcPr>
          <w:p>
            <w:pPr>
              <w:pStyle w:val="TableContents"/>
              <w:bidi w:val="0"/>
              <w:spacing w:before="60" w:after="283"/>
              <w:ind w:left="0" w:right="0" w:firstLine="144"/>
              <w:jc w:val="left"/>
              <w:rPr>
                <w:rFonts w:ascii="Times New Roman" w:hAnsi="Times New Roman"/>
                <w:b/>
                <w:color w:val="000000"/>
                <w:sz w:val="20"/>
              </w:rPr>
            </w:pPr>
            <w:r>
              <w:rPr>
                <w:rFonts w:ascii="Times New Roman" w:hAnsi="Times New Roman"/>
                <w:b/>
                <w:color w:val="000000"/>
                <w:sz w:val="20"/>
              </w:rPr>
              <w:t>Michael Cordonnier</w:t>
            </w:r>
          </w:p>
        </w:tc>
        <w:tc>
          <w:tcPr>
            <w:tcW w:w="146" w:type="dxa"/>
            <w:tcBorders/>
            <w:tcMar>
              <w:top w:w="0" w:type="dxa"/>
              <w:left w:w="0" w:type="dxa"/>
              <w:bottom w:w="0" w:type="dxa"/>
              <w:right w:w="0" w:type="dxa"/>
            </w:tcMar>
            <w:vAlign w:val="center"/>
          </w:tcPr>
          <w:p>
            <w:pPr>
              <w:pStyle w:val="TableContents"/>
              <w:bidi w:val="0"/>
              <w:spacing w:before="6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i/>
                <w:color w:val="000000"/>
                <w:sz w:val="20"/>
              </w:rPr>
            </w:pPr>
            <w:r>
              <w:rPr>
                <w:rFonts w:ascii="Times New Roman" w:hAnsi="Times New Roman"/>
                <w:i/>
                <w:color w:val="000000"/>
                <w:sz w:val="20"/>
              </w:rPr>
              <w:t>(Principal Executive Officer)</w:t>
            </w:r>
          </w:p>
        </w:tc>
        <w:tc>
          <w:tcPr>
            <w:tcW w:w="146" w:type="dxa"/>
            <w:tcBorders/>
            <w:tcMar>
              <w:top w:w="0" w:type="dxa"/>
              <w:left w:w="0" w:type="dxa"/>
              <w:bottom w:w="0" w:type="dxa"/>
              <w:right w:w="0" w:type="dxa"/>
            </w:tcMar>
            <w:vAlign w:val="center"/>
          </w:tcPr>
          <w:p>
            <w:pPr>
              <w:pStyle w:val="TableContents"/>
              <w:bidi w:val="0"/>
              <w:spacing w:before="60" w:after="283"/>
              <w:jc w:val="center"/>
              <w:rPr/>
            </w:pPr>
            <w:r>
              <w:rPr/>
              <w:t> </w:t>
            </w:r>
          </w:p>
        </w:tc>
        <w:tc>
          <w:tcPr>
            <w:tcW w:w="1645" w:type="dxa"/>
            <w:tcBorders/>
            <w:tcMar>
              <w:top w:w="0" w:type="dxa"/>
              <w:left w:w="0" w:type="dxa"/>
              <w:bottom w:w="0" w:type="dxa"/>
              <w:right w:w="0" w:type="dxa"/>
            </w:tcMar>
            <w:vAlign w:val="center"/>
          </w:tcPr>
          <w:p>
            <w:pPr>
              <w:pStyle w:val="TableContents"/>
              <w:bidi w:val="0"/>
              <w:spacing w:before="60" w:after="283"/>
              <w:ind w:left="0" w:right="0" w:firstLine="144"/>
              <w:jc w:val="center"/>
              <w:rPr/>
            </w:pPr>
            <w:r>
              <w:rPr/>
              <w:t> </w:t>
            </w:r>
          </w:p>
        </w:tc>
      </w:tr>
      <w:tr>
        <w:trPr/>
        <w:tc>
          <w:tcPr>
            <w:tcW w:w="2155" w:type="dxa"/>
            <w:tcBorders>
              <w:bottom w:val="single" w:sz="6" w:space="0" w:color="000000"/>
            </w:tcBorders>
            <w:tcMar>
              <w:top w:w="0" w:type="dxa"/>
              <w:left w:w="0" w:type="dxa"/>
              <w:right w:w="0" w:type="dxa"/>
            </w:tcMar>
            <w:vAlign w:val="center"/>
          </w:tcPr>
          <w:p>
            <w:pPr>
              <w:pStyle w:val="TableContents"/>
              <w:bidi w:val="0"/>
              <w:spacing w:before="200" w:after="283"/>
              <w:ind w:left="0" w:right="0" w:firstLine="144"/>
              <w:jc w:val="left"/>
              <w:rPr>
                <w:rFonts w:ascii="Times New Roman" w:hAnsi="Times New Roman"/>
                <w:color w:val="000000"/>
                <w:sz w:val="20"/>
              </w:rPr>
            </w:pPr>
            <w:r>
              <w:rPr>
                <w:rFonts w:ascii="Times New Roman" w:hAnsi="Times New Roman"/>
                <w:color w:val="000000"/>
                <w:sz w:val="20"/>
              </w:rPr>
              <w:t>/s/ Leonard Greenstein</w:t>
            </w:r>
          </w:p>
        </w:tc>
        <w:tc>
          <w:tcPr>
            <w:tcW w:w="146" w:type="dxa"/>
            <w:tcBorders>
              <w:bottom w:val="single" w:sz="6" w:space="0" w:color="000000"/>
            </w:tcBorders>
            <w:tcMar>
              <w:top w:w="0" w:type="dxa"/>
              <w:left w:w="0" w:type="dxa"/>
              <w:right w:w="0" w:type="dxa"/>
            </w:tcMar>
            <w:vAlign w:val="center"/>
          </w:tcPr>
          <w:p>
            <w:pPr>
              <w:pStyle w:val="TableContents"/>
              <w:bidi w:val="0"/>
              <w:spacing w:before="20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200" w:after="283"/>
              <w:jc w:val="center"/>
              <w:rPr>
                <w:rFonts w:ascii="Times New Roman" w:hAnsi="Times New Roman"/>
                <w:color w:val="000000"/>
                <w:sz w:val="20"/>
              </w:rPr>
            </w:pPr>
            <w:r>
              <w:rPr>
                <w:rFonts w:ascii="Times New Roman" w:hAnsi="Times New Roman"/>
                <w:color w:val="000000"/>
                <w:sz w:val="20"/>
              </w:rPr>
              <w:t>Chief Financial Officer</w:t>
            </w:r>
          </w:p>
        </w:tc>
        <w:tc>
          <w:tcPr>
            <w:tcW w:w="146" w:type="dxa"/>
            <w:tcBorders/>
            <w:tcMar>
              <w:top w:w="0" w:type="dxa"/>
              <w:left w:w="0" w:type="dxa"/>
              <w:bottom w:w="0" w:type="dxa"/>
              <w:right w:w="0" w:type="dxa"/>
            </w:tcMar>
            <w:vAlign w:val="center"/>
          </w:tcPr>
          <w:p>
            <w:pPr>
              <w:pStyle w:val="TableContents"/>
              <w:bidi w:val="0"/>
              <w:spacing w:before="200" w:after="283"/>
              <w:jc w:val="center"/>
              <w:rPr/>
            </w:pPr>
            <w:r>
              <w:rPr/>
              <w:t> </w:t>
            </w:r>
          </w:p>
        </w:tc>
        <w:tc>
          <w:tcPr>
            <w:tcW w:w="1645" w:type="dxa"/>
            <w:tcBorders/>
            <w:tcMar>
              <w:top w:w="0" w:type="dxa"/>
              <w:left w:w="0" w:type="dxa"/>
              <w:bottom w:w="0" w:type="dxa"/>
              <w:right w:w="0" w:type="dxa"/>
            </w:tcMar>
            <w:vAlign w:val="center"/>
          </w:tcPr>
          <w:p>
            <w:pPr>
              <w:pStyle w:val="TableContents"/>
              <w:bidi w:val="0"/>
              <w:spacing w:before="200" w:after="283"/>
              <w:ind w:left="0" w:right="0" w:firstLine="144"/>
              <w:jc w:val="center"/>
              <w:rPr>
                <w:rFonts w:ascii="Times New Roman" w:hAnsi="Times New Roman"/>
                <w:color w:val="000000"/>
                <w:sz w:val="20"/>
              </w:rPr>
            </w:pPr>
            <w:r>
              <w:rPr>
                <w:rFonts w:ascii="Times New Roman" w:hAnsi="Times New Roman"/>
                <w:color w:val="000000"/>
                <w:sz w:val="20"/>
              </w:rPr>
              <w:t>August 14, 2026</w:t>
            </w:r>
          </w:p>
        </w:tc>
      </w:tr>
      <w:tr>
        <w:trPr/>
        <w:tc>
          <w:tcPr>
            <w:tcW w:w="2155" w:type="dxa"/>
            <w:tcBorders/>
            <w:tcMar>
              <w:top w:w="0" w:type="dxa"/>
              <w:left w:w="0" w:type="dxa"/>
              <w:bottom w:w="0" w:type="dxa"/>
              <w:right w:w="0" w:type="dxa"/>
            </w:tcMar>
            <w:vAlign w:val="center"/>
          </w:tcPr>
          <w:p>
            <w:pPr>
              <w:pStyle w:val="TableContents"/>
              <w:bidi w:val="0"/>
              <w:spacing w:before="60" w:after="283"/>
              <w:ind w:left="0" w:right="0" w:firstLine="144"/>
              <w:jc w:val="left"/>
              <w:rPr>
                <w:rFonts w:ascii="Times New Roman" w:hAnsi="Times New Roman"/>
                <w:b/>
                <w:color w:val="000000"/>
                <w:sz w:val="20"/>
              </w:rPr>
            </w:pPr>
            <w:r>
              <w:rPr>
                <w:rFonts w:ascii="Times New Roman" w:hAnsi="Times New Roman"/>
                <w:b/>
                <w:color w:val="000000"/>
                <w:sz w:val="20"/>
              </w:rPr>
              <w:t>Leonard Greenstein</w:t>
            </w:r>
          </w:p>
        </w:tc>
        <w:tc>
          <w:tcPr>
            <w:tcW w:w="146" w:type="dxa"/>
            <w:tcBorders/>
            <w:tcMar>
              <w:top w:w="0" w:type="dxa"/>
              <w:left w:w="0" w:type="dxa"/>
              <w:bottom w:w="0" w:type="dxa"/>
              <w:right w:w="0" w:type="dxa"/>
            </w:tcMar>
            <w:vAlign w:val="center"/>
          </w:tcPr>
          <w:p>
            <w:pPr>
              <w:pStyle w:val="TableContents"/>
              <w:bidi w:val="0"/>
              <w:spacing w:before="6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c>
          <w:tcPr>
            <w:tcW w:w="146" w:type="dxa"/>
            <w:tcBorders/>
            <w:tcMar>
              <w:top w:w="0" w:type="dxa"/>
              <w:left w:w="0" w:type="dxa"/>
              <w:bottom w:w="0" w:type="dxa"/>
              <w:right w:w="0" w:type="dxa"/>
            </w:tcMar>
            <w:vAlign w:val="center"/>
          </w:tcPr>
          <w:p>
            <w:pPr>
              <w:pStyle w:val="TableContents"/>
              <w:bidi w:val="0"/>
              <w:spacing w:before="60" w:after="283"/>
              <w:jc w:val="center"/>
              <w:rPr/>
            </w:pPr>
            <w:r>
              <w:rPr/>
              <w:t> </w:t>
            </w:r>
          </w:p>
        </w:tc>
        <w:tc>
          <w:tcPr>
            <w:tcW w:w="1645" w:type="dxa"/>
            <w:tcBorders/>
            <w:tcMar>
              <w:top w:w="0" w:type="dxa"/>
              <w:left w:w="0" w:type="dxa"/>
              <w:bottom w:w="0" w:type="dxa"/>
              <w:right w:w="0" w:type="dxa"/>
            </w:tcMar>
            <w:vAlign w:val="center"/>
          </w:tcPr>
          <w:p>
            <w:pPr>
              <w:pStyle w:val="TableContents"/>
              <w:bidi w:val="0"/>
              <w:spacing w:before="60" w:after="283"/>
              <w:ind w:left="0" w:right="0" w:firstLine="144"/>
              <w:jc w:val="center"/>
              <w:rPr/>
            </w:pPr>
            <w:r>
              <w:rPr/>
              <w:t> </w:t>
            </w:r>
          </w:p>
        </w:tc>
      </w:tr>
      <w:tr>
        <w:trPr/>
        <w:tc>
          <w:tcPr>
            <w:tcW w:w="2155" w:type="dxa"/>
            <w:tcBorders>
              <w:bottom w:val="single" w:sz="6" w:space="0" w:color="000000"/>
            </w:tcBorders>
            <w:tcMar>
              <w:top w:w="0" w:type="dxa"/>
              <w:left w:w="0" w:type="dxa"/>
              <w:right w:w="0" w:type="dxa"/>
            </w:tcMar>
            <w:vAlign w:val="center"/>
          </w:tcPr>
          <w:p>
            <w:pPr>
              <w:pStyle w:val="TableContents"/>
              <w:bidi w:val="0"/>
              <w:spacing w:before="200" w:after="283"/>
              <w:ind w:left="0" w:right="0" w:firstLine="144"/>
              <w:jc w:val="left"/>
              <w:rPr>
                <w:rFonts w:ascii="Times New Roman" w:hAnsi="Times New Roman"/>
                <w:color w:val="000000"/>
                <w:sz w:val="20"/>
              </w:rPr>
            </w:pPr>
            <w:r>
              <w:rPr>
                <w:rFonts w:ascii="Times New Roman" w:hAnsi="Times New Roman"/>
                <w:color w:val="000000"/>
                <w:sz w:val="20"/>
              </w:rPr>
              <w:t>/s/ Kevin O'Boyle</w:t>
            </w:r>
          </w:p>
        </w:tc>
        <w:tc>
          <w:tcPr>
            <w:tcW w:w="146" w:type="dxa"/>
            <w:tcBorders>
              <w:bottom w:val="single" w:sz="6" w:space="0" w:color="000000"/>
            </w:tcBorders>
            <w:tcMar>
              <w:top w:w="0" w:type="dxa"/>
              <w:left w:w="0" w:type="dxa"/>
              <w:right w:w="0" w:type="dxa"/>
            </w:tcMar>
            <w:vAlign w:val="center"/>
          </w:tcPr>
          <w:p>
            <w:pPr>
              <w:pStyle w:val="TableContents"/>
              <w:bidi w:val="0"/>
              <w:spacing w:before="20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20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200" w:after="283"/>
              <w:jc w:val="center"/>
              <w:rPr/>
            </w:pPr>
            <w:r>
              <w:rPr/>
              <w:t> </w:t>
            </w:r>
          </w:p>
        </w:tc>
        <w:tc>
          <w:tcPr>
            <w:tcW w:w="1645" w:type="dxa"/>
            <w:tcBorders/>
            <w:tcMar>
              <w:top w:w="0" w:type="dxa"/>
              <w:left w:w="0" w:type="dxa"/>
              <w:bottom w:w="0" w:type="dxa"/>
              <w:right w:w="0" w:type="dxa"/>
            </w:tcMar>
            <w:vAlign w:val="center"/>
          </w:tcPr>
          <w:p>
            <w:pPr>
              <w:pStyle w:val="TableContents"/>
              <w:bidi w:val="0"/>
              <w:spacing w:before="200" w:after="283"/>
              <w:ind w:left="0" w:right="0" w:firstLine="144"/>
              <w:jc w:val="center"/>
              <w:rPr>
                <w:rFonts w:ascii="Times New Roman" w:hAnsi="Times New Roman"/>
                <w:color w:val="000000"/>
                <w:sz w:val="20"/>
              </w:rPr>
            </w:pPr>
            <w:r>
              <w:rPr>
                <w:rFonts w:ascii="Times New Roman" w:hAnsi="Times New Roman"/>
                <w:color w:val="000000"/>
                <w:sz w:val="20"/>
              </w:rPr>
              <w:t>August 14, 2026</w:t>
            </w:r>
          </w:p>
        </w:tc>
      </w:tr>
      <w:tr>
        <w:trPr/>
        <w:tc>
          <w:tcPr>
            <w:tcW w:w="2155" w:type="dxa"/>
            <w:tcBorders/>
            <w:tcMar>
              <w:top w:w="0" w:type="dxa"/>
              <w:left w:w="0" w:type="dxa"/>
              <w:bottom w:w="0" w:type="dxa"/>
              <w:right w:w="0" w:type="dxa"/>
            </w:tcMar>
            <w:vAlign w:val="center"/>
          </w:tcPr>
          <w:p>
            <w:pPr>
              <w:pStyle w:val="TableContents"/>
              <w:bidi w:val="0"/>
              <w:spacing w:before="60" w:after="283"/>
              <w:ind w:left="0" w:right="0" w:firstLine="144"/>
              <w:jc w:val="left"/>
              <w:rPr>
                <w:rFonts w:ascii="Times New Roman" w:hAnsi="Times New Roman"/>
                <w:b/>
                <w:color w:val="000000"/>
                <w:sz w:val="20"/>
              </w:rPr>
            </w:pPr>
            <w:r>
              <w:rPr>
                <w:rFonts w:ascii="Times New Roman" w:hAnsi="Times New Roman"/>
                <w:b/>
                <w:color w:val="000000"/>
                <w:sz w:val="20"/>
              </w:rPr>
              <w:t>Kevin O'Boyle</w:t>
            </w:r>
          </w:p>
        </w:tc>
        <w:tc>
          <w:tcPr>
            <w:tcW w:w="146" w:type="dxa"/>
            <w:tcBorders/>
            <w:tcMar>
              <w:top w:w="0" w:type="dxa"/>
              <w:left w:w="0" w:type="dxa"/>
              <w:bottom w:w="0" w:type="dxa"/>
              <w:right w:w="0" w:type="dxa"/>
            </w:tcMar>
            <w:vAlign w:val="center"/>
          </w:tcPr>
          <w:p>
            <w:pPr>
              <w:pStyle w:val="TableContents"/>
              <w:bidi w:val="0"/>
              <w:spacing w:before="6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6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60" w:after="283"/>
              <w:jc w:val="center"/>
              <w:rPr/>
            </w:pPr>
            <w:r>
              <w:rPr/>
              <w:t> </w:t>
            </w:r>
          </w:p>
        </w:tc>
        <w:tc>
          <w:tcPr>
            <w:tcW w:w="1645" w:type="dxa"/>
            <w:tcBorders/>
            <w:tcMar>
              <w:top w:w="0" w:type="dxa"/>
              <w:left w:w="0" w:type="dxa"/>
              <w:bottom w:w="0" w:type="dxa"/>
              <w:right w:w="0" w:type="dxa"/>
            </w:tcMar>
            <w:vAlign w:val="center"/>
          </w:tcPr>
          <w:p>
            <w:pPr>
              <w:pStyle w:val="TableContents"/>
              <w:bidi w:val="0"/>
              <w:spacing w:before="60" w:after="283"/>
              <w:ind w:left="0" w:right="0" w:firstLine="144"/>
              <w:jc w:val="center"/>
              <w:rPr/>
            </w:pPr>
            <w:r>
              <w:rPr/>
              <w:t> </w:t>
            </w:r>
          </w:p>
        </w:tc>
      </w:tr>
      <w:tr>
        <w:trPr/>
        <w:tc>
          <w:tcPr>
            <w:tcW w:w="2155" w:type="dxa"/>
            <w:tcBorders>
              <w:bottom w:val="single" w:sz="6" w:space="0" w:color="000000"/>
            </w:tcBorders>
            <w:tcMar>
              <w:top w:w="0" w:type="dxa"/>
              <w:left w:w="0" w:type="dxa"/>
              <w:right w:w="0" w:type="dxa"/>
            </w:tcMar>
            <w:vAlign w:val="center"/>
          </w:tcPr>
          <w:p>
            <w:pPr>
              <w:pStyle w:val="TableContents"/>
              <w:bidi w:val="0"/>
              <w:spacing w:before="200" w:after="283"/>
              <w:ind w:left="0" w:right="0" w:firstLine="144"/>
              <w:jc w:val="left"/>
              <w:rPr>
                <w:rFonts w:ascii="Times New Roman" w:hAnsi="Times New Roman"/>
                <w:color w:val="000000"/>
                <w:sz w:val="20"/>
              </w:rPr>
            </w:pPr>
            <w:r>
              <w:rPr>
                <w:rFonts w:ascii="Times New Roman" w:hAnsi="Times New Roman"/>
                <w:color w:val="000000"/>
                <w:sz w:val="20"/>
              </w:rPr>
              <w:t>/s/ Niall Casey</w:t>
            </w:r>
          </w:p>
        </w:tc>
        <w:tc>
          <w:tcPr>
            <w:tcW w:w="146" w:type="dxa"/>
            <w:tcBorders>
              <w:bottom w:val="single" w:sz="6" w:space="0" w:color="000000"/>
            </w:tcBorders>
            <w:tcMar>
              <w:top w:w="0" w:type="dxa"/>
              <w:left w:w="0" w:type="dxa"/>
              <w:right w:w="0" w:type="dxa"/>
            </w:tcMar>
            <w:vAlign w:val="center"/>
          </w:tcPr>
          <w:p>
            <w:pPr>
              <w:pStyle w:val="TableContents"/>
              <w:bidi w:val="0"/>
              <w:spacing w:before="20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20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200" w:after="283"/>
              <w:jc w:val="center"/>
              <w:rPr/>
            </w:pPr>
            <w:r>
              <w:rPr/>
              <w:t> </w:t>
            </w:r>
          </w:p>
        </w:tc>
        <w:tc>
          <w:tcPr>
            <w:tcW w:w="1645" w:type="dxa"/>
            <w:tcBorders/>
            <w:tcMar>
              <w:top w:w="0" w:type="dxa"/>
              <w:left w:w="0" w:type="dxa"/>
              <w:bottom w:w="0" w:type="dxa"/>
              <w:right w:w="0" w:type="dxa"/>
            </w:tcMar>
            <w:vAlign w:val="center"/>
          </w:tcPr>
          <w:p>
            <w:pPr>
              <w:pStyle w:val="TableContents"/>
              <w:bidi w:val="0"/>
              <w:spacing w:before="200" w:after="283"/>
              <w:ind w:left="0" w:right="0" w:firstLine="144"/>
              <w:jc w:val="center"/>
              <w:rPr>
                <w:rFonts w:ascii="Times New Roman" w:hAnsi="Times New Roman"/>
                <w:color w:val="000000"/>
                <w:sz w:val="20"/>
              </w:rPr>
            </w:pPr>
            <w:r>
              <w:rPr>
                <w:rFonts w:ascii="Times New Roman" w:hAnsi="Times New Roman"/>
                <w:color w:val="000000"/>
                <w:sz w:val="20"/>
              </w:rPr>
              <w:t>August 14, 2026</w:t>
            </w:r>
          </w:p>
        </w:tc>
      </w:tr>
      <w:tr>
        <w:trPr/>
        <w:tc>
          <w:tcPr>
            <w:tcW w:w="2155" w:type="dxa"/>
            <w:tcBorders/>
            <w:tcMar>
              <w:top w:w="0" w:type="dxa"/>
              <w:left w:w="0" w:type="dxa"/>
              <w:bottom w:w="0" w:type="dxa"/>
              <w:right w:w="0" w:type="dxa"/>
            </w:tcMar>
            <w:vAlign w:val="center"/>
          </w:tcPr>
          <w:p>
            <w:pPr>
              <w:pStyle w:val="TableContents"/>
              <w:bidi w:val="0"/>
              <w:spacing w:before="60" w:after="283"/>
              <w:ind w:left="0" w:right="0" w:firstLine="144"/>
              <w:jc w:val="left"/>
              <w:rPr>
                <w:rFonts w:ascii="Times New Roman" w:hAnsi="Times New Roman"/>
                <w:b/>
                <w:color w:val="000000"/>
                <w:sz w:val="20"/>
              </w:rPr>
            </w:pPr>
            <w:r>
              <w:rPr>
                <w:rFonts w:ascii="Times New Roman" w:hAnsi="Times New Roman"/>
                <w:b/>
                <w:color w:val="000000"/>
                <w:sz w:val="20"/>
              </w:rPr>
              <w:t>Niall Casey</w:t>
            </w:r>
          </w:p>
        </w:tc>
        <w:tc>
          <w:tcPr>
            <w:tcW w:w="146" w:type="dxa"/>
            <w:tcBorders/>
            <w:tcMar>
              <w:top w:w="0" w:type="dxa"/>
              <w:left w:w="0" w:type="dxa"/>
              <w:bottom w:w="0" w:type="dxa"/>
              <w:right w:w="0" w:type="dxa"/>
            </w:tcMar>
            <w:vAlign w:val="center"/>
          </w:tcPr>
          <w:p>
            <w:pPr>
              <w:pStyle w:val="TableContents"/>
              <w:bidi w:val="0"/>
              <w:spacing w:before="6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6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60" w:after="283"/>
              <w:jc w:val="center"/>
              <w:rPr/>
            </w:pPr>
            <w:r>
              <w:rPr/>
              <w:t> </w:t>
            </w:r>
          </w:p>
        </w:tc>
        <w:tc>
          <w:tcPr>
            <w:tcW w:w="1645" w:type="dxa"/>
            <w:tcBorders/>
            <w:tcMar>
              <w:top w:w="0" w:type="dxa"/>
              <w:left w:w="0" w:type="dxa"/>
              <w:bottom w:w="0" w:type="dxa"/>
              <w:right w:w="0" w:type="dxa"/>
            </w:tcMar>
            <w:vAlign w:val="center"/>
          </w:tcPr>
          <w:p>
            <w:pPr>
              <w:pStyle w:val="TableContents"/>
              <w:bidi w:val="0"/>
              <w:spacing w:before="60" w:after="283"/>
              <w:ind w:left="0" w:right="0" w:firstLine="144"/>
              <w:jc w:val="center"/>
              <w:rPr/>
            </w:pPr>
            <w:r>
              <w:rPr/>
              <w:t> </w:t>
            </w:r>
          </w:p>
        </w:tc>
      </w:tr>
      <w:tr>
        <w:trPr/>
        <w:tc>
          <w:tcPr>
            <w:tcW w:w="2155" w:type="dxa"/>
            <w:tcBorders>
              <w:bottom w:val="single" w:sz="6" w:space="0" w:color="000000"/>
            </w:tcBorders>
            <w:tcMar>
              <w:top w:w="0" w:type="dxa"/>
              <w:left w:w="0" w:type="dxa"/>
              <w:right w:w="0" w:type="dxa"/>
            </w:tcMar>
            <w:vAlign w:val="center"/>
          </w:tcPr>
          <w:p>
            <w:pPr>
              <w:pStyle w:val="TableContents"/>
              <w:bidi w:val="0"/>
              <w:spacing w:before="200" w:after="283"/>
              <w:ind w:left="0" w:right="0" w:firstLine="144"/>
              <w:jc w:val="left"/>
              <w:rPr>
                <w:rFonts w:ascii="Times New Roman" w:hAnsi="Times New Roman"/>
                <w:color w:val="000000"/>
                <w:sz w:val="20"/>
              </w:rPr>
            </w:pPr>
            <w:r>
              <w:rPr>
                <w:rFonts w:ascii="Times New Roman" w:hAnsi="Times New Roman"/>
                <w:color w:val="000000"/>
                <w:sz w:val="20"/>
              </w:rPr>
              <w:t>/s/ Robert Mittendorff</w:t>
            </w:r>
          </w:p>
        </w:tc>
        <w:tc>
          <w:tcPr>
            <w:tcW w:w="146" w:type="dxa"/>
            <w:tcBorders>
              <w:bottom w:val="single" w:sz="6" w:space="0" w:color="000000"/>
            </w:tcBorders>
            <w:tcMar>
              <w:top w:w="0" w:type="dxa"/>
              <w:left w:w="0" w:type="dxa"/>
              <w:right w:w="0" w:type="dxa"/>
            </w:tcMar>
            <w:vAlign w:val="center"/>
          </w:tcPr>
          <w:p>
            <w:pPr>
              <w:pStyle w:val="TableContents"/>
              <w:bidi w:val="0"/>
              <w:spacing w:before="20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20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200" w:after="283"/>
              <w:jc w:val="center"/>
              <w:rPr/>
            </w:pPr>
            <w:r>
              <w:rPr/>
              <w:t> </w:t>
            </w:r>
          </w:p>
        </w:tc>
        <w:tc>
          <w:tcPr>
            <w:tcW w:w="1645" w:type="dxa"/>
            <w:tcBorders/>
            <w:tcMar>
              <w:top w:w="0" w:type="dxa"/>
              <w:left w:w="0" w:type="dxa"/>
              <w:bottom w:w="0" w:type="dxa"/>
              <w:right w:w="0" w:type="dxa"/>
            </w:tcMar>
            <w:vAlign w:val="center"/>
          </w:tcPr>
          <w:p>
            <w:pPr>
              <w:pStyle w:val="TableContents"/>
              <w:bidi w:val="0"/>
              <w:spacing w:before="200" w:after="283"/>
              <w:ind w:left="0" w:right="0" w:firstLine="144"/>
              <w:jc w:val="center"/>
              <w:rPr>
                <w:rFonts w:ascii="Times New Roman" w:hAnsi="Times New Roman"/>
                <w:color w:val="000000"/>
                <w:sz w:val="20"/>
              </w:rPr>
            </w:pPr>
            <w:r>
              <w:rPr>
                <w:rFonts w:ascii="Times New Roman" w:hAnsi="Times New Roman"/>
                <w:color w:val="000000"/>
                <w:sz w:val="20"/>
              </w:rPr>
              <w:t>August 14, 2026</w:t>
            </w:r>
          </w:p>
        </w:tc>
      </w:tr>
      <w:tr>
        <w:trPr/>
        <w:tc>
          <w:tcPr>
            <w:tcW w:w="2155" w:type="dxa"/>
            <w:tcBorders/>
            <w:tcMar>
              <w:top w:w="0" w:type="dxa"/>
              <w:left w:w="0" w:type="dxa"/>
              <w:bottom w:w="0" w:type="dxa"/>
              <w:right w:w="0" w:type="dxa"/>
            </w:tcMar>
            <w:vAlign w:val="center"/>
          </w:tcPr>
          <w:p>
            <w:pPr>
              <w:pStyle w:val="TableContents"/>
              <w:bidi w:val="0"/>
              <w:spacing w:before="60" w:after="283"/>
              <w:ind w:left="0" w:right="0" w:firstLine="144"/>
              <w:jc w:val="left"/>
              <w:rPr>
                <w:rFonts w:ascii="Times New Roman" w:hAnsi="Times New Roman"/>
                <w:b/>
                <w:color w:val="000000"/>
                <w:sz w:val="20"/>
              </w:rPr>
            </w:pPr>
            <w:r>
              <w:rPr>
                <w:rFonts w:ascii="Times New Roman" w:hAnsi="Times New Roman"/>
                <w:b/>
                <w:color w:val="000000"/>
                <w:sz w:val="20"/>
              </w:rPr>
              <w:t>Robert Mittendorff</w:t>
            </w:r>
          </w:p>
        </w:tc>
        <w:tc>
          <w:tcPr>
            <w:tcW w:w="146" w:type="dxa"/>
            <w:tcBorders/>
            <w:tcMar>
              <w:top w:w="0" w:type="dxa"/>
              <w:left w:w="0" w:type="dxa"/>
              <w:bottom w:w="0" w:type="dxa"/>
              <w:right w:w="0" w:type="dxa"/>
            </w:tcMar>
            <w:vAlign w:val="center"/>
          </w:tcPr>
          <w:p>
            <w:pPr>
              <w:pStyle w:val="TableContents"/>
              <w:bidi w:val="0"/>
              <w:spacing w:before="6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6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60" w:after="283"/>
              <w:jc w:val="center"/>
              <w:rPr/>
            </w:pPr>
            <w:r>
              <w:rPr/>
              <w:t> </w:t>
            </w:r>
          </w:p>
        </w:tc>
        <w:tc>
          <w:tcPr>
            <w:tcW w:w="1645" w:type="dxa"/>
            <w:tcBorders/>
            <w:tcMar>
              <w:top w:w="0" w:type="dxa"/>
              <w:left w:w="0" w:type="dxa"/>
              <w:bottom w:w="0" w:type="dxa"/>
              <w:right w:w="0" w:type="dxa"/>
            </w:tcMar>
            <w:vAlign w:val="center"/>
          </w:tcPr>
          <w:p>
            <w:pPr>
              <w:pStyle w:val="TableContents"/>
              <w:bidi w:val="0"/>
              <w:spacing w:before="60" w:after="283"/>
              <w:ind w:left="0" w:right="0" w:firstLine="144"/>
              <w:jc w:val="center"/>
              <w:rPr/>
            </w:pPr>
            <w:r>
              <w:rPr/>
              <w:t> </w:t>
            </w:r>
          </w:p>
        </w:tc>
      </w:tr>
      <w:tr>
        <w:trPr/>
        <w:tc>
          <w:tcPr>
            <w:tcW w:w="2155" w:type="dxa"/>
            <w:tcBorders>
              <w:bottom w:val="single" w:sz="6" w:space="0" w:color="000000"/>
            </w:tcBorders>
            <w:tcMar>
              <w:top w:w="0" w:type="dxa"/>
              <w:left w:w="0" w:type="dxa"/>
              <w:right w:w="0" w:type="dxa"/>
            </w:tcMar>
            <w:vAlign w:val="center"/>
          </w:tcPr>
          <w:p>
            <w:pPr>
              <w:pStyle w:val="TableContents"/>
              <w:bidi w:val="0"/>
              <w:spacing w:before="200" w:after="283"/>
              <w:ind w:left="0" w:right="0" w:firstLine="144"/>
              <w:jc w:val="left"/>
              <w:rPr>
                <w:rFonts w:ascii="Times New Roman" w:hAnsi="Times New Roman"/>
                <w:color w:val="000000"/>
                <w:sz w:val="20"/>
              </w:rPr>
            </w:pPr>
            <w:r>
              <w:rPr>
                <w:rFonts w:ascii="Times New Roman" w:hAnsi="Times New Roman"/>
                <w:color w:val="000000"/>
                <w:sz w:val="20"/>
              </w:rPr>
              <w:t>/s/ Jonathan Root</w:t>
            </w:r>
          </w:p>
        </w:tc>
        <w:tc>
          <w:tcPr>
            <w:tcW w:w="146" w:type="dxa"/>
            <w:tcBorders>
              <w:bottom w:val="single" w:sz="6" w:space="0" w:color="000000"/>
            </w:tcBorders>
            <w:tcMar>
              <w:top w:w="0" w:type="dxa"/>
              <w:left w:w="0" w:type="dxa"/>
              <w:right w:w="0" w:type="dxa"/>
            </w:tcMar>
            <w:vAlign w:val="center"/>
          </w:tcPr>
          <w:p>
            <w:pPr>
              <w:pStyle w:val="TableContents"/>
              <w:bidi w:val="0"/>
              <w:spacing w:before="20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20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200" w:after="283"/>
              <w:jc w:val="center"/>
              <w:rPr/>
            </w:pPr>
            <w:r>
              <w:rPr/>
              <w:t> </w:t>
            </w:r>
          </w:p>
        </w:tc>
        <w:tc>
          <w:tcPr>
            <w:tcW w:w="1645" w:type="dxa"/>
            <w:tcBorders/>
            <w:tcMar>
              <w:top w:w="0" w:type="dxa"/>
              <w:left w:w="0" w:type="dxa"/>
              <w:bottom w:w="0" w:type="dxa"/>
              <w:right w:w="0" w:type="dxa"/>
            </w:tcMar>
            <w:vAlign w:val="center"/>
          </w:tcPr>
          <w:p>
            <w:pPr>
              <w:pStyle w:val="TableContents"/>
              <w:bidi w:val="0"/>
              <w:spacing w:before="200" w:after="283"/>
              <w:ind w:left="0" w:right="0" w:firstLine="144"/>
              <w:jc w:val="center"/>
              <w:rPr>
                <w:rFonts w:ascii="Times New Roman" w:hAnsi="Times New Roman"/>
                <w:color w:val="000000"/>
                <w:sz w:val="20"/>
              </w:rPr>
            </w:pPr>
            <w:r>
              <w:rPr>
                <w:rFonts w:ascii="Times New Roman" w:hAnsi="Times New Roman"/>
                <w:color w:val="000000"/>
                <w:sz w:val="20"/>
              </w:rPr>
              <w:t>August 14, 2026</w:t>
            </w:r>
          </w:p>
        </w:tc>
      </w:tr>
      <w:tr>
        <w:trPr/>
        <w:tc>
          <w:tcPr>
            <w:tcW w:w="2155" w:type="dxa"/>
            <w:tcBorders/>
            <w:tcMar>
              <w:top w:w="0" w:type="dxa"/>
              <w:left w:w="0" w:type="dxa"/>
              <w:bottom w:w="0" w:type="dxa"/>
              <w:right w:w="0" w:type="dxa"/>
            </w:tcMar>
            <w:vAlign w:val="center"/>
          </w:tcPr>
          <w:p>
            <w:pPr>
              <w:pStyle w:val="TableContents"/>
              <w:bidi w:val="0"/>
              <w:spacing w:before="60" w:after="283"/>
              <w:ind w:left="0" w:right="0" w:firstLine="144"/>
              <w:jc w:val="left"/>
              <w:rPr>
                <w:rFonts w:ascii="Times New Roman" w:hAnsi="Times New Roman"/>
                <w:b/>
                <w:color w:val="000000"/>
                <w:sz w:val="20"/>
              </w:rPr>
            </w:pPr>
            <w:r>
              <w:rPr>
                <w:rFonts w:ascii="Times New Roman" w:hAnsi="Times New Roman"/>
                <w:b/>
                <w:color w:val="000000"/>
                <w:sz w:val="20"/>
              </w:rPr>
              <w:t>Jonathan Root</w:t>
            </w:r>
          </w:p>
        </w:tc>
        <w:tc>
          <w:tcPr>
            <w:tcW w:w="146" w:type="dxa"/>
            <w:tcBorders/>
            <w:tcMar>
              <w:top w:w="0" w:type="dxa"/>
              <w:left w:w="0" w:type="dxa"/>
              <w:bottom w:w="0" w:type="dxa"/>
              <w:right w:w="0" w:type="dxa"/>
            </w:tcMar>
            <w:vAlign w:val="center"/>
          </w:tcPr>
          <w:p>
            <w:pPr>
              <w:pStyle w:val="TableContents"/>
              <w:bidi w:val="0"/>
              <w:spacing w:before="6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6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60" w:after="283"/>
              <w:jc w:val="center"/>
              <w:rPr/>
            </w:pPr>
            <w:r>
              <w:rPr/>
              <w:t> </w:t>
            </w:r>
          </w:p>
        </w:tc>
        <w:tc>
          <w:tcPr>
            <w:tcW w:w="1645" w:type="dxa"/>
            <w:tcBorders/>
            <w:tcMar>
              <w:top w:w="0" w:type="dxa"/>
              <w:left w:w="0" w:type="dxa"/>
              <w:bottom w:w="0" w:type="dxa"/>
              <w:right w:w="0" w:type="dxa"/>
            </w:tcMar>
            <w:vAlign w:val="center"/>
          </w:tcPr>
          <w:p>
            <w:pPr>
              <w:pStyle w:val="TableContents"/>
              <w:bidi w:val="0"/>
              <w:spacing w:before="60" w:after="283"/>
              <w:ind w:left="0" w:right="0" w:firstLine="144"/>
              <w:jc w:val="center"/>
              <w:rPr/>
            </w:pPr>
            <w:r>
              <w:rPr/>
              <w:t> </w:t>
            </w:r>
          </w:p>
        </w:tc>
      </w:tr>
      <w:tr>
        <w:trPr/>
        <w:tc>
          <w:tcPr>
            <w:tcW w:w="2155" w:type="dxa"/>
            <w:tcBorders>
              <w:bottom w:val="single" w:sz="6" w:space="0" w:color="000000"/>
            </w:tcBorders>
            <w:tcMar>
              <w:top w:w="0" w:type="dxa"/>
              <w:left w:w="0" w:type="dxa"/>
              <w:right w:w="0" w:type="dxa"/>
            </w:tcMar>
            <w:vAlign w:val="center"/>
          </w:tcPr>
          <w:p>
            <w:pPr>
              <w:pStyle w:val="TableContents"/>
              <w:bidi w:val="0"/>
              <w:spacing w:before="200" w:after="283"/>
              <w:ind w:left="0" w:right="0" w:firstLine="144"/>
              <w:jc w:val="left"/>
              <w:rPr>
                <w:rFonts w:ascii="Times New Roman" w:hAnsi="Times New Roman"/>
                <w:color w:val="000000"/>
                <w:sz w:val="20"/>
              </w:rPr>
            </w:pPr>
            <w:r>
              <w:rPr>
                <w:rFonts w:ascii="Times New Roman" w:hAnsi="Times New Roman"/>
                <w:color w:val="000000"/>
                <w:sz w:val="20"/>
              </w:rPr>
              <w:t>/s/ Kevin Sidow</w:t>
            </w:r>
          </w:p>
        </w:tc>
        <w:tc>
          <w:tcPr>
            <w:tcW w:w="146" w:type="dxa"/>
            <w:tcBorders>
              <w:bottom w:val="single" w:sz="6" w:space="0" w:color="000000"/>
            </w:tcBorders>
            <w:tcMar>
              <w:top w:w="0" w:type="dxa"/>
              <w:left w:w="0" w:type="dxa"/>
              <w:right w:w="0" w:type="dxa"/>
            </w:tcMar>
            <w:vAlign w:val="center"/>
          </w:tcPr>
          <w:p>
            <w:pPr>
              <w:pStyle w:val="TableContents"/>
              <w:bidi w:val="0"/>
              <w:spacing w:before="20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20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200" w:after="283"/>
              <w:jc w:val="center"/>
              <w:rPr/>
            </w:pPr>
            <w:r>
              <w:rPr/>
              <w:t> </w:t>
            </w:r>
          </w:p>
        </w:tc>
        <w:tc>
          <w:tcPr>
            <w:tcW w:w="1645" w:type="dxa"/>
            <w:tcBorders/>
            <w:tcMar>
              <w:top w:w="0" w:type="dxa"/>
              <w:left w:w="0" w:type="dxa"/>
              <w:bottom w:w="0" w:type="dxa"/>
              <w:right w:w="0" w:type="dxa"/>
            </w:tcMar>
            <w:vAlign w:val="center"/>
          </w:tcPr>
          <w:p>
            <w:pPr>
              <w:pStyle w:val="TableContents"/>
              <w:bidi w:val="0"/>
              <w:spacing w:before="200" w:after="283"/>
              <w:ind w:left="0" w:right="0" w:firstLine="144"/>
              <w:jc w:val="center"/>
              <w:rPr>
                <w:rFonts w:ascii="Times New Roman" w:hAnsi="Times New Roman"/>
                <w:color w:val="000000"/>
                <w:sz w:val="20"/>
              </w:rPr>
            </w:pPr>
            <w:r>
              <w:rPr>
                <w:rFonts w:ascii="Times New Roman" w:hAnsi="Times New Roman"/>
                <w:color w:val="000000"/>
                <w:sz w:val="20"/>
              </w:rPr>
              <w:t>August 14, 2026</w:t>
            </w:r>
          </w:p>
        </w:tc>
      </w:tr>
      <w:tr>
        <w:trPr/>
        <w:tc>
          <w:tcPr>
            <w:tcW w:w="2155" w:type="dxa"/>
            <w:tcBorders/>
            <w:tcMar>
              <w:top w:w="0" w:type="dxa"/>
              <w:left w:w="0" w:type="dxa"/>
              <w:bottom w:w="0" w:type="dxa"/>
              <w:right w:w="0" w:type="dxa"/>
            </w:tcMar>
            <w:vAlign w:val="center"/>
          </w:tcPr>
          <w:p>
            <w:pPr>
              <w:pStyle w:val="TableContents"/>
              <w:bidi w:val="0"/>
              <w:spacing w:before="60" w:after="283"/>
              <w:ind w:left="0" w:right="0" w:firstLine="144"/>
              <w:jc w:val="left"/>
              <w:rPr>
                <w:rFonts w:ascii="Times New Roman" w:hAnsi="Times New Roman"/>
                <w:b/>
                <w:color w:val="000000"/>
                <w:sz w:val="20"/>
              </w:rPr>
            </w:pPr>
            <w:r>
              <w:rPr>
                <w:rFonts w:ascii="Times New Roman" w:hAnsi="Times New Roman"/>
                <w:b/>
                <w:color w:val="000000"/>
                <w:sz w:val="20"/>
              </w:rPr>
              <w:t>Kevin Sidow</w:t>
            </w:r>
          </w:p>
        </w:tc>
        <w:tc>
          <w:tcPr>
            <w:tcW w:w="146" w:type="dxa"/>
            <w:tcBorders/>
            <w:tcMar>
              <w:top w:w="0" w:type="dxa"/>
              <w:left w:w="0" w:type="dxa"/>
              <w:bottom w:w="0" w:type="dxa"/>
              <w:right w:w="0" w:type="dxa"/>
            </w:tcMar>
            <w:vAlign w:val="center"/>
          </w:tcPr>
          <w:p>
            <w:pPr>
              <w:pStyle w:val="TableContents"/>
              <w:bidi w:val="0"/>
              <w:spacing w:before="6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6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60" w:after="283"/>
              <w:jc w:val="center"/>
              <w:rPr/>
            </w:pPr>
            <w:r>
              <w:rPr/>
              <w:t> </w:t>
            </w:r>
          </w:p>
        </w:tc>
        <w:tc>
          <w:tcPr>
            <w:tcW w:w="1645" w:type="dxa"/>
            <w:tcBorders/>
            <w:tcMar>
              <w:top w:w="0" w:type="dxa"/>
              <w:left w:w="0" w:type="dxa"/>
              <w:bottom w:w="0" w:type="dxa"/>
              <w:right w:w="0" w:type="dxa"/>
            </w:tcMar>
            <w:vAlign w:val="center"/>
          </w:tcPr>
          <w:p>
            <w:pPr>
              <w:pStyle w:val="TableContents"/>
              <w:bidi w:val="0"/>
              <w:spacing w:before="60" w:after="283"/>
              <w:ind w:left="0" w:right="0" w:firstLine="144"/>
              <w:jc w:val="center"/>
              <w:rPr/>
            </w:pPr>
            <w:r>
              <w:rPr/>
              <w:t> </w:t>
            </w:r>
          </w:p>
        </w:tc>
      </w:tr>
      <w:tr>
        <w:trPr/>
        <w:tc>
          <w:tcPr>
            <w:tcW w:w="2155" w:type="dxa"/>
            <w:tcBorders>
              <w:bottom w:val="single" w:sz="6" w:space="0" w:color="000000"/>
            </w:tcBorders>
            <w:tcMar>
              <w:top w:w="0" w:type="dxa"/>
              <w:left w:w="0" w:type="dxa"/>
              <w:right w:w="0" w:type="dxa"/>
            </w:tcMar>
            <w:vAlign w:val="center"/>
          </w:tcPr>
          <w:p>
            <w:pPr>
              <w:pStyle w:val="TableContents"/>
              <w:bidi w:val="0"/>
              <w:spacing w:before="200" w:after="283"/>
              <w:ind w:left="0" w:right="0" w:firstLine="144"/>
              <w:jc w:val="left"/>
              <w:rPr>
                <w:rFonts w:ascii="Times New Roman" w:hAnsi="Times New Roman"/>
                <w:color w:val="000000"/>
                <w:sz w:val="20"/>
              </w:rPr>
            </w:pPr>
            <w:r>
              <w:rPr>
                <w:rFonts w:ascii="Times New Roman" w:hAnsi="Times New Roman"/>
                <w:color w:val="000000"/>
                <w:sz w:val="20"/>
              </w:rPr>
              <w:t>/s/ Philip Young</w:t>
            </w:r>
          </w:p>
        </w:tc>
        <w:tc>
          <w:tcPr>
            <w:tcW w:w="146" w:type="dxa"/>
            <w:tcBorders>
              <w:bottom w:val="single" w:sz="6" w:space="0" w:color="000000"/>
            </w:tcBorders>
            <w:tcMar>
              <w:top w:w="0" w:type="dxa"/>
              <w:left w:w="0" w:type="dxa"/>
              <w:right w:w="0" w:type="dxa"/>
            </w:tcMar>
            <w:vAlign w:val="center"/>
          </w:tcPr>
          <w:p>
            <w:pPr>
              <w:pStyle w:val="TableContents"/>
              <w:bidi w:val="0"/>
              <w:spacing w:before="20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20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200" w:after="283"/>
              <w:jc w:val="center"/>
              <w:rPr/>
            </w:pPr>
            <w:r>
              <w:rPr/>
              <w:t> </w:t>
            </w:r>
          </w:p>
        </w:tc>
        <w:tc>
          <w:tcPr>
            <w:tcW w:w="1645" w:type="dxa"/>
            <w:tcBorders/>
            <w:tcMar>
              <w:top w:w="0" w:type="dxa"/>
              <w:left w:w="0" w:type="dxa"/>
              <w:bottom w:w="0" w:type="dxa"/>
              <w:right w:w="0" w:type="dxa"/>
            </w:tcMar>
            <w:vAlign w:val="center"/>
          </w:tcPr>
          <w:p>
            <w:pPr>
              <w:pStyle w:val="TableContents"/>
              <w:bidi w:val="0"/>
              <w:spacing w:before="200" w:after="283"/>
              <w:ind w:left="0" w:right="0" w:firstLine="144"/>
              <w:jc w:val="center"/>
              <w:rPr>
                <w:rFonts w:ascii="Times New Roman" w:hAnsi="Times New Roman"/>
                <w:color w:val="000000"/>
                <w:sz w:val="20"/>
              </w:rPr>
            </w:pPr>
            <w:r>
              <w:rPr>
                <w:rFonts w:ascii="Times New Roman" w:hAnsi="Times New Roman"/>
                <w:color w:val="000000"/>
                <w:sz w:val="20"/>
              </w:rPr>
              <w:t>August 14, 2026</w:t>
            </w:r>
          </w:p>
        </w:tc>
      </w:tr>
      <w:tr>
        <w:trPr/>
        <w:tc>
          <w:tcPr>
            <w:tcW w:w="2155" w:type="dxa"/>
            <w:tcBorders/>
            <w:tcMar>
              <w:top w:w="0" w:type="dxa"/>
              <w:left w:w="0" w:type="dxa"/>
              <w:bottom w:w="0" w:type="dxa"/>
              <w:right w:w="0" w:type="dxa"/>
            </w:tcMar>
            <w:vAlign w:val="center"/>
          </w:tcPr>
          <w:p>
            <w:pPr>
              <w:pStyle w:val="TableContents"/>
              <w:bidi w:val="0"/>
              <w:spacing w:before="60" w:after="283"/>
              <w:ind w:left="0" w:right="0" w:firstLine="144"/>
              <w:jc w:val="left"/>
              <w:rPr>
                <w:rFonts w:ascii="Times New Roman" w:hAnsi="Times New Roman"/>
                <w:b/>
                <w:color w:val="000000"/>
                <w:sz w:val="20"/>
              </w:rPr>
            </w:pPr>
            <w:r>
              <w:rPr>
                <w:rFonts w:ascii="Times New Roman" w:hAnsi="Times New Roman"/>
                <w:b/>
                <w:color w:val="000000"/>
                <w:sz w:val="20"/>
              </w:rPr>
              <w:t>Philip Young</w:t>
            </w:r>
          </w:p>
        </w:tc>
        <w:tc>
          <w:tcPr>
            <w:tcW w:w="146" w:type="dxa"/>
            <w:tcBorders/>
            <w:tcMar>
              <w:top w:w="0" w:type="dxa"/>
              <w:left w:w="0" w:type="dxa"/>
              <w:bottom w:w="0" w:type="dxa"/>
              <w:right w:w="0" w:type="dxa"/>
            </w:tcMar>
            <w:vAlign w:val="center"/>
          </w:tcPr>
          <w:p>
            <w:pPr>
              <w:pStyle w:val="TableContents"/>
              <w:bidi w:val="0"/>
              <w:spacing w:before="6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6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60" w:after="283"/>
              <w:jc w:val="center"/>
              <w:rPr/>
            </w:pPr>
            <w:r>
              <w:rPr/>
              <w:t> </w:t>
            </w:r>
          </w:p>
        </w:tc>
        <w:tc>
          <w:tcPr>
            <w:tcW w:w="1645" w:type="dxa"/>
            <w:tcBorders/>
            <w:tcMar>
              <w:top w:w="0" w:type="dxa"/>
              <w:left w:w="0" w:type="dxa"/>
              <w:bottom w:w="0" w:type="dxa"/>
              <w:right w:w="0" w:type="dxa"/>
            </w:tcMar>
            <w:vAlign w:val="center"/>
          </w:tcPr>
          <w:p>
            <w:pPr>
              <w:pStyle w:val="TableContents"/>
              <w:bidi w:val="0"/>
              <w:spacing w:before="60" w:after="283"/>
              <w:jc w:val="center"/>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17" w:name="carl-ex4_5.htm"/>
      <w:bookmarkStart w:id="18" w:name="kscarlex4_5"/>
      <w:bookmarkEnd w:id="17"/>
      <w:bookmarkEnd w:id="18"/>
      <w:r>
        <w:rPr>
          <w:rFonts w:ascii="Times New Roman" w:hAnsi="Times New Roman"/>
          <w:b/>
          <w:color w:val="000000"/>
          <w:sz w:val="24"/>
        </w:rPr>
        <w:t>Exhibit 4.5</w:t>
      </w:r>
      <w:r>
        <w:br w:type="page"/>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CARLSMED, INC.</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INDENTURE</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Dated as of [___], 20[__]</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[___]</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Trustee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TABLE OF CONTENTS</w:t>
      </w:r>
    </w:p>
    <w:p>
      <w:pPr>
        <w:pStyle w:val="TextBody"/>
        <w:bidi w:val="0"/>
        <w:jc w:val="left"/>
        <w:rPr/>
      </w:pPr>
      <w:r>
        <w:rPr/>
        <w:t> </w:t>
      </w:r>
    </w:p>
    <w:tbl>
      <w:tblPr>
        <w:tblW w:w="7701" w:type="dxa"/>
        <w:jc w:val="left"/>
        <w:tblInd w:w="0" w:type="dxa"/>
        <w:tblLayout w:type="fixed"/>
        <w:tblCellMar>
          <w:top w:w="28" w:type="dxa"/>
          <w:left w:w="28" w:type="dxa"/>
          <w:bottom w:w="28" w:type="dxa"/>
          <w:right w:w="28" w:type="dxa"/>
        </w:tblCellMar>
      </w:tblPr>
      <w:tblGrid>
        <w:gridCol w:w="1738"/>
        <w:gridCol w:w="5327"/>
        <w:gridCol w:w="636"/>
      </w:tblGrid>
      <w:tr>
        <w:trPr/>
        <w:tc>
          <w:tcPr>
            <w:tcW w:w="1738" w:type="dxa"/>
            <w:tcBorders/>
            <w:vAlign w:val="center"/>
          </w:tcPr>
          <w:p>
            <w:pPr>
              <w:pStyle w:val="TableContents"/>
              <w:bidi w:val="0"/>
              <w:spacing w:before="0" w:after="283"/>
              <w:jc w:val="left"/>
              <w:rPr>
                <w:sz w:val="4"/>
                <w:szCs w:val="4"/>
              </w:rPr>
            </w:pPr>
            <w:r>
              <w:rPr>
                <w:sz w:val="4"/>
                <w:szCs w:val="4"/>
              </w:rPr>
            </w:r>
          </w:p>
        </w:tc>
        <w:tc>
          <w:tcPr>
            <w:tcW w:w="532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7701"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Page</w:t>
            </w:r>
          </w:p>
        </w:tc>
      </w:tr>
      <w:tr>
        <w:trPr/>
        <w:tc>
          <w:tcPr>
            <w:tcW w:w="7065" w:type="dxa"/>
            <w:gridSpan w:val="2"/>
            <w:tcBorders/>
            <w:shd w:fill="FFFFFF" w:val="clear"/>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Article 1 DEFINITIONS AND INCORPORATION BY REFERENCE</w:t>
            </w:r>
          </w:p>
        </w:tc>
        <w:tc>
          <w:tcPr>
            <w:tcW w:w="636" w:type="dxa"/>
            <w:tcBorders/>
            <w:shd w:fill="FFFFFF" w:val="clear"/>
            <w:tcMar>
              <w:top w:w="0" w:type="dxa"/>
              <w:left w:w="0" w:type="dxa"/>
              <w:bottom w:w="0" w:type="dxa"/>
              <w:right w:w="0" w:type="dxa"/>
            </w:tcMar>
            <w:vAlign w:val="center"/>
          </w:tcPr>
          <w:p>
            <w:pPr>
              <w:pStyle w:val="TableContents"/>
              <w:bidi w:val="0"/>
              <w:spacing w:before="240" w:after="283"/>
              <w:ind w:left="0" w:right="0" w:firstLine="245"/>
              <w:jc w:val="right"/>
              <w:rPr>
                <w:rFonts w:ascii="Times New Roman" w:hAnsi="Times New Roman"/>
                <w:color w:val="000000"/>
                <w:sz w:val="24"/>
              </w:rPr>
            </w:pPr>
            <w:r>
              <w:rPr>
                <w:rFonts w:ascii="Times New Roman" w:hAnsi="Times New Roman"/>
                <w:color w:val="000000"/>
                <w:sz w:val="24"/>
              </w:rPr>
              <w:t>5</w:t>
            </w:r>
          </w:p>
        </w:tc>
      </w:tr>
      <w:tr>
        <w:trPr/>
        <w:tc>
          <w:tcPr>
            <w:tcW w:w="173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1.1.</w:t>
            </w:r>
          </w:p>
        </w:tc>
        <w:tc>
          <w:tcPr>
            <w:tcW w:w="5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Definitions.</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5</w:t>
            </w:r>
          </w:p>
        </w:tc>
      </w:tr>
      <w:tr>
        <w:trPr/>
        <w:tc>
          <w:tcPr>
            <w:tcW w:w="173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1.2.</w:t>
            </w:r>
          </w:p>
        </w:tc>
        <w:tc>
          <w:tcPr>
            <w:tcW w:w="5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Other Definitions.</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8</w:t>
            </w:r>
          </w:p>
        </w:tc>
      </w:tr>
      <w:tr>
        <w:trPr/>
        <w:tc>
          <w:tcPr>
            <w:tcW w:w="173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1.3.</w:t>
            </w:r>
          </w:p>
        </w:tc>
        <w:tc>
          <w:tcPr>
            <w:tcW w:w="5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Incorporation by Reference of Trust Indenture Act.</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9</w:t>
            </w:r>
          </w:p>
        </w:tc>
      </w:tr>
      <w:tr>
        <w:trPr/>
        <w:tc>
          <w:tcPr>
            <w:tcW w:w="173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1.4.</w:t>
            </w:r>
          </w:p>
        </w:tc>
        <w:tc>
          <w:tcPr>
            <w:tcW w:w="5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Rules of Construction.</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9</w:t>
            </w:r>
          </w:p>
        </w:tc>
      </w:tr>
      <w:tr>
        <w:trPr/>
        <w:tc>
          <w:tcPr>
            <w:tcW w:w="7065" w:type="dxa"/>
            <w:gridSpan w:val="2"/>
            <w:tcBorders/>
            <w:shd w:fill="FFFFFF" w:val="clear"/>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Article 2 THE SECURITIES</w:t>
            </w:r>
          </w:p>
        </w:tc>
        <w:tc>
          <w:tcPr>
            <w:tcW w:w="636" w:type="dxa"/>
            <w:tcBorders/>
            <w:shd w:fill="FFFFFF" w:val="clear"/>
            <w:tcMar>
              <w:top w:w="0" w:type="dxa"/>
              <w:left w:w="0" w:type="dxa"/>
              <w:bottom w:w="0" w:type="dxa"/>
              <w:right w:w="0" w:type="dxa"/>
            </w:tcMar>
            <w:vAlign w:val="center"/>
          </w:tcPr>
          <w:p>
            <w:pPr>
              <w:pStyle w:val="TableContents"/>
              <w:bidi w:val="0"/>
              <w:spacing w:before="240" w:after="283"/>
              <w:ind w:left="0" w:right="0" w:firstLine="245"/>
              <w:jc w:val="right"/>
              <w:rPr>
                <w:rFonts w:ascii="Times New Roman" w:hAnsi="Times New Roman"/>
                <w:color w:val="000000"/>
                <w:sz w:val="24"/>
              </w:rPr>
            </w:pPr>
            <w:r>
              <w:rPr>
                <w:rFonts w:ascii="Times New Roman" w:hAnsi="Times New Roman"/>
                <w:color w:val="000000"/>
                <w:sz w:val="24"/>
              </w:rPr>
              <w:t>10</w:t>
            </w:r>
          </w:p>
        </w:tc>
      </w:tr>
      <w:tr>
        <w:trPr/>
        <w:tc>
          <w:tcPr>
            <w:tcW w:w="1738" w:type="dxa"/>
            <w:tcBorders/>
            <w:shd w:fill="FFFFFF" w:val="clear"/>
            <w:tcMar>
              <w:top w:w="0" w:type="dxa"/>
              <w:left w:w="0" w:type="dxa"/>
              <w:bottom w:w="0" w:type="dxa"/>
              <w:right w:w="0" w:type="dxa"/>
            </w:tcMar>
            <w:vAlign w:val="center"/>
          </w:tcPr>
          <w:p>
            <w:pPr>
              <w:pStyle w:val="TableContents"/>
              <w:bidi w:val="0"/>
              <w:spacing w:before="240" w:after="283"/>
              <w:ind w:left="0" w:right="0" w:firstLine="245"/>
              <w:jc w:val="left"/>
              <w:rPr>
                <w:rFonts w:ascii="Times New Roman" w:hAnsi="Times New Roman"/>
                <w:color w:val="000000"/>
                <w:sz w:val="24"/>
              </w:rPr>
            </w:pPr>
            <w:r>
              <w:rPr>
                <w:rFonts w:ascii="Times New Roman" w:hAnsi="Times New Roman"/>
                <w:color w:val="000000"/>
                <w:sz w:val="24"/>
              </w:rPr>
              <w:t>Section 2.1.</w:t>
            </w:r>
          </w:p>
        </w:tc>
        <w:tc>
          <w:tcPr>
            <w:tcW w:w="5327" w:type="dxa"/>
            <w:tcBorders/>
            <w:shd w:fill="FFFFFF" w:val="clear"/>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Issuable in Series.</w:t>
            </w:r>
          </w:p>
        </w:tc>
        <w:tc>
          <w:tcPr>
            <w:tcW w:w="636" w:type="dxa"/>
            <w:tcBorders/>
            <w:shd w:fill="FFFFFF" w:val="clear"/>
            <w:tcMar>
              <w:top w:w="0" w:type="dxa"/>
              <w:left w:w="0" w:type="dxa"/>
              <w:bottom w:w="0" w:type="dxa"/>
              <w:right w:w="0" w:type="dxa"/>
            </w:tcMar>
            <w:vAlign w:val="center"/>
          </w:tcPr>
          <w:p>
            <w:pPr>
              <w:pStyle w:val="TableContents"/>
              <w:bidi w:val="0"/>
              <w:spacing w:before="240" w:after="283"/>
              <w:ind w:left="0" w:right="0" w:firstLine="245"/>
              <w:jc w:val="right"/>
              <w:rPr>
                <w:rFonts w:ascii="Times New Roman" w:hAnsi="Times New Roman"/>
                <w:color w:val="000000"/>
                <w:sz w:val="24"/>
              </w:rPr>
            </w:pPr>
            <w:r>
              <w:rPr>
                <w:rFonts w:ascii="Times New Roman" w:hAnsi="Times New Roman"/>
                <w:color w:val="000000"/>
                <w:sz w:val="24"/>
              </w:rPr>
              <w:t>10</w:t>
            </w:r>
          </w:p>
        </w:tc>
      </w:tr>
      <w:tr>
        <w:trPr/>
        <w:tc>
          <w:tcPr>
            <w:tcW w:w="173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2.2.</w:t>
            </w:r>
          </w:p>
        </w:tc>
        <w:tc>
          <w:tcPr>
            <w:tcW w:w="5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Establishment of Terms of Series of Securities.</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10</w:t>
            </w:r>
          </w:p>
        </w:tc>
      </w:tr>
      <w:tr>
        <w:trPr/>
        <w:tc>
          <w:tcPr>
            <w:tcW w:w="173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2.3.</w:t>
            </w:r>
          </w:p>
        </w:tc>
        <w:tc>
          <w:tcPr>
            <w:tcW w:w="5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Execution and Authentication.</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12</w:t>
            </w:r>
          </w:p>
        </w:tc>
      </w:tr>
      <w:tr>
        <w:trPr/>
        <w:tc>
          <w:tcPr>
            <w:tcW w:w="173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2.4.</w:t>
            </w:r>
          </w:p>
        </w:tc>
        <w:tc>
          <w:tcPr>
            <w:tcW w:w="5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Registrar, Paying Agent and Notice Agent.</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13</w:t>
            </w:r>
          </w:p>
        </w:tc>
      </w:tr>
      <w:tr>
        <w:trPr/>
        <w:tc>
          <w:tcPr>
            <w:tcW w:w="173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2.5.</w:t>
            </w:r>
          </w:p>
        </w:tc>
        <w:tc>
          <w:tcPr>
            <w:tcW w:w="5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Paying Agent to Hold Money in Trust.</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14</w:t>
            </w:r>
          </w:p>
        </w:tc>
      </w:tr>
      <w:tr>
        <w:trPr/>
        <w:tc>
          <w:tcPr>
            <w:tcW w:w="173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2.6.</w:t>
            </w:r>
          </w:p>
        </w:tc>
        <w:tc>
          <w:tcPr>
            <w:tcW w:w="5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Holder Lists.</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14</w:t>
            </w:r>
          </w:p>
        </w:tc>
      </w:tr>
      <w:tr>
        <w:trPr/>
        <w:tc>
          <w:tcPr>
            <w:tcW w:w="173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2.7.</w:t>
            </w:r>
          </w:p>
        </w:tc>
        <w:tc>
          <w:tcPr>
            <w:tcW w:w="5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Transfer and Exchange.</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15</w:t>
            </w:r>
          </w:p>
        </w:tc>
      </w:tr>
      <w:tr>
        <w:trPr/>
        <w:tc>
          <w:tcPr>
            <w:tcW w:w="173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2.8.</w:t>
            </w:r>
          </w:p>
        </w:tc>
        <w:tc>
          <w:tcPr>
            <w:tcW w:w="5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Mutilated, Destroyed, Lost and Stolen Securities.</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15</w:t>
            </w:r>
          </w:p>
        </w:tc>
      </w:tr>
      <w:tr>
        <w:trPr/>
        <w:tc>
          <w:tcPr>
            <w:tcW w:w="173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2.9.</w:t>
            </w:r>
          </w:p>
        </w:tc>
        <w:tc>
          <w:tcPr>
            <w:tcW w:w="5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Outstanding Securities.</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16</w:t>
            </w:r>
          </w:p>
        </w:tc>
      </w:tr>
      <w:tr>
        <w:trPr/>
        <w:tc>
          <w:tcPr>
            <w:tcW w:w="173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2.10.</w:t>
            </w:r>
          </w:p>
        </w:tc>
        <w:tc>
          <w:tcPr>
            <w:tcW w:w="5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Treasury Securities.</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16</w:t>
            </w:r>
          </w:p>
        </w:tc>
      </w:tr>
      <w:tr>
        <w:trPr/>
        <w:tc>
          <w:tcPr>
            <w:tcW w:w="173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2.11.</w:t>
            </w:r>
          </w:p>
        </w:tc>
        <w:tc>
          <w:tcPr>
            <w:tcW w:w="5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Temporary Securities.</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17</w:t>
            </w:r>
          </w:p>
        </w:tc>
      </w:tr>
      <w:tr>
        <w:trPr/>
        <w:tc>
          <w:tcPr>
            <w:tcW w:w="173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2.12.</w:t>
            </w:r>
          </w:p>
        </w:tc>
        <w:tc>
          <w:tcPr>
            <w:tcW w:w="5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Cancellation.</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17</w:t>
            </w:r>
          </w:p>
        </w:tc>
      </w:tr>
      <w:tr>
        <w:trPr/>
        <w:tc>
          <w:tcPr>
            <w:tcW w:w="173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2.13.</w:t>
            </w:r>
          </w:p>
        </w:tc>
        <w:tc>
          <w:tcPr>
            <w:tcW w:w="5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Defaulted Interest.</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17</w:t>
            </w:r>
          </w:p>
        </w:tc>
      </w:tr>
      <w:tr>
        <w:trPr/>
        <w:tc>
          <w:tcPr>
            <w:tcW w:w="173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2.14.</w:t>
            </w:r>
          </w:p>
        </w:tc>
        <w:tc>
          <w:tcPr>
            <w:tcW w:w="5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Global Securities.</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17</w:t>
            </w:r>
          </w:p>
        </w:tc>
      </w:tr>
      <w:tr>
        <w:trPr/>
        <w:tc>
          <w:tcPr>
            <w:tcW w:w="173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2.15.</w:t>
            </w:r>
          </w:p>
        </w:tc>
        <w:tc>
          <w:tcPr>
            <w:tcW w:w="5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CUSIP Numbers.</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19</w:t>
            </w:r>
          </w:p>
        </w:tc>
      </w:tr>
      <w:tr>
        <w:trPr/>
        <w:tc>
          <w:tcPr>
            <w:tcW w:w="7065" w:type="dxa"/>
            <w:gridSpan w:val="2"/>
            <w:tcBorders/>
            <w:shd w:fill="FFFFFF" w:val="clear"/>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Article 3 REDEMPTION</w:t>
            </w:r>
          </w:p>
        </w:tc>
        <w:tc>
          <w:tcPr>
            <w:tcW w:w="636" w:type="dxa"/>
            <w:tcBorders/>
            <w:shd w:fill="FFFFFF" w:val="clear"/>
            <w:tcMar>
              <w:top w:w="0" w:type="dxa"/>
              <w:left w:w="0" w:type="dxa"/>
              <w:bottom w:w="0" w:type="dxa"/>
              <w:right w:w="0" w:type="dxa"/>
            </w:tcMar>
            <w:vAlign w:val="center"/>
          </w:tcPr>
          <w:p>
            <w:pPr>
              <w:pStyle w:val="TableContents"/>
              <w:bidi w:val="0"/>
              <w:spacing w:before="240" w:after="283"/>
              <w:ind w:left="0" w:right="0" w:firstLine="245"/>
              <w:jc w:val="right"/>
              <w:rPr>
                <w:rFonts w:ascii="Times New Roman" w:hAnsi="Times New Roman"/>
                <w:color w:val="000000"/>
                <w:sz w:val="24"/>
              </w:rPr>
            </w:pPr>
            <w:r>
              <w:rPr>
                <w:rFonts w:ascii="Times New Roman" w:hAnsi="Times New Roman"/>
                <w:color w:val="000000"/>
                <w:sz w:val="24"/>
              </w:rPr>
              <w:t>20</w:t>
            </w:r>
          </w:p>
        </w:tc>
      </w:tr>
      <w:tr>
        <w:trPr/>
        <w:tc>
          <w:tcPr>
            <w:tcW w:w="1738" w:type="dxa"/>
            <w:tcBorders/>
            <w:shd w:fill="FFFFFF" w:val="clear"/>
            <w:tcMar>
              <w:top w:w="0" w:type="dxa"/>
              <w:left w:w="0" w:type="dxa"/>
              <w:bottom w:w="0" w:type="dxa"/>
              <w:right w:w="0" w:type="dxa"/>
            </w:tcMar>
            <w:vAlign w:val="center"/>
          </w:tcPr>
          <w:p>
            <w:pPr>
              <w:pStyle w:val="TableContents"/>
              <w:bidi w:val="0"/>
              <w:spacing w:before="240" w:after="283"/>
              <w:ind w:left="0" w:right="0" w:firstLine="245"/>
              <w:jc w:val="left"/>
              <w:rPr>
                <w:rFonts w:ascii="Times New Roman" w:hAnsi="Times New Roman"/>
                <w:color w:val="000000"/>
                <w:sz w:val="24"/>
              </w:rPr>
            </w:pPr>
            <w:r>
              <w:rPr>
                <w:rFonts w:ascii="Times New Roman" w:hAnsi="Times New Roman"/>
                <w:color w:val="000000"/>
                <w:sz w:val="24"/>
              </w:rPr>
              <w:t>Section 3.1.</w:t>
            </w:r>
          </w:p>
        </w:tc>
        <w:tc>
          <w:tcPr>
            <w:tcW w:w="5327" w:type="dxa"/>
            <w:tcBorders/>
            <w:shd w:fill="FFFFFF" w:val="clear"/>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Notice to Trustee.</w:t>
            </w:r>
          </w:p>
        </w:tc>
        <w:tc>
          <w:tcPr>
            <w:tcW w:w="636" w:type="dxa"/>
            <w:tcBorders/>
            <w:shd w:fill="FFFFFF" w:val="clear"/>
            <w:tcMar>
              <w:top w:w="0" w:type="dxa"/>
              <w:left w:w="0" w:type="dxa"/>
              <w:bottom w:w="0" w:type="dxa"/>
              <w:right w:w="0" w:type="dxa"/>
            </w:tcMar>
            <w:vAlign w:val="center"/>
          </w:tcPr>
          <w:p>
            <w:pPr>
              <w:pStyle w:val="TableContents"/>
              <w:bidi w:val="0"/>
              <w:spacing w:before="240" w:after="283"/>
              <w:ind w:left="0" w:right="0" w:firstLine="245"/>
              <w:jc w:val="right"/>
              <w:rPr>
                <w:rFonts w:ascii="Times New Roman" w:hAnsi="Times New Roman"/>
                <w:color w:val="000000"/>
                <w:sz w:val="24"/>
              </w:rPr>
            </w:pPr>
            <w:r>
              <w:rPr>
                <w:rFonts w:ascii="Times New Roman" w:hAnsi="Times New Roman"/>
                <w:color w:val="000000"/>
                <w:sz w:val="24"/>
              </w:rPr>
              <w:t>20</w:t>
            </w:r>
          </w:p>
        </w:tc>
      </w:tr>
      <w:tr>
        <w:trPr/>
        <w:tc>
          <w:tcPr>
            <w:tcW w:w="173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3.2.</w:t>
            </w:r>
          </w:p>
        </w:tc>
        <w:tc>
          <w:tcPr>
            <w:tcW w:w="5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Selection of Securities to be Redeemed.</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20</w:t>
            </w:r>
          </w:p>
        </w:tc>
      </w:tr>
      <w:tr>
        <w:trPr/>
        <w:tc>
          <w:tcPr>
            <w:tcW w:w="173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3.3.</w:t>
            </w:r>
          </w:p>
        </w:tc>
        <w:tc>
          <w:tcPr>
            <w:tcW w:w="5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Notice of Redemption.</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20</w:t>
            </w:r>
          </w:p>
        </w:tc>
      </w:tr>
      <w:tr>
        <w:trPr/>
        <w:tc>
          <w:tcPr>
            <w:tcW w:w="173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3.4.</w:t>
            </w:r>
          </w:p>
        </w:tc>
        <w:tc>
          <w:tcPr>
            <w:tcW w:w="5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Effect of Notice of Redemption.</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21</w:t>
            </w:r>
          </w:p>
        </w:tc>
      </w:tr>
      <w:tr>
        <w:trPr/>
        <w:tc>
          <w:tcPr>
            <w:tcW w:w="173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3.5.</w:t>
            </w:r>
          </w:p>
        </w:tc>
        <w:tc>
          <w:tcPr>
            <w:tcW w:w="5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Deposit of Redemption Price.</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21</w:t>
            </w:r>
          </w:p>
        </w:tc>
      </w:tr>
      <w:tr>
        <w:trPr/>
        <w:tc>
          <w:tcPr>
            <w:tcW w:w="173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3.6.</w:t>
            </w:r>
          </w:p>
        </w:tc>
        <w:tc>
          <w:tcPr>
            <w:tcW w:w="5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Securities Redeemed in Part.</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22</w:t>
            </w:r>
          </w:p>
        </w:tc>
      </w:tr>
      <w:tr>
        <w:trPr/>
        <w:tc>
          <w:tcPr>
            <w:tcW w:w="7065" w:type="dxa"/>
            <w:gridSpan w:val="2"/>
            <w:tcBorders/>
            <w:shd w:fill="FFFFFF" w:val="clear"/>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Article 4 COVENANTS</w:t>
            </w:r>
          </w:p>
        </w:tc>
        <w:tc>
          <w:tcPr>
            <w:tcW w:w="636" w:type="dxa"/>
            <w:tcBorders/>
            <w:shd w:fill="FFFFFF" w:val="clear"/>
            <w:tcMar>
              <w:top w:w="0" w:type="dxa"/>
              <w:left w:w="0" w:type="dxa"/>
              <w:bottom w:w="0" w:type="dxa"/>
              <w:right w:w="0" w:type="dxa"/>
            </w:tcMar>
            <w:vAlign w:val="center"/>
          </w:tcPr>
          <w:p>
            <w:pPr>
              <w:pStyle w:val="TableContents"/>
              <w:bidi w:val="0"/>
              <w:spacing w:before="240" w:after="283"/>
              <w:ind w:left="0" w:right="0" w:firstLine="245"/>
              <w:jc w:val="right"/>
              <w:rPr>
                <w:rFonts w:ascii="Times New Roman" w:hAnsi="Times New Roman"/>
                <w:color w:val="000000"/>
                <w:sz w:val="24"/>
              </w:rPr>
            </w:pPr>
            <w:r>
              <w:rPr>
                <w:rFonts w:ascii="Times New Roman" w:hAnsi="Times New Roman"/>
                <w:color w:val="000000"/>
                <w:sz w:val="24"/>
              </w:rPr>
              <w:t>22</w:t>
            </w:r>
          </w:p>
        </w:tc>
      </w:tr>
      <w:tr>
        <w:trPr/>
        <w:tc>
          <w:tcPr>
            <w:tcW w:w="1738" w:type="dxa"/>
            <w:tcBorders/>
            <w:shd w:fill="FFFFFF" w:val="clear"/>
            <w:tcMar>
              <w:top w:w="0" w:type="dxa"/>
              <w:left w:w="0" w:type="dxa"/>
              <w:bottom w:w="0" w:type="dxa"/>
              <w:right w:w="0" w:type="dxa"/>
            </w:tcMar>
            <w:vAlign w:val="center"/>
          </w:tcPr>
          <w:p>
            <w:pPr>
              <w:pStyle w:val="TableContents"/>
              <w:bidi w:val="0"/>
              <w:spacing w:before="240" w:after="283"/>
              <w:ind w:left="0" w:right="0" w:firstLine="245"/>
              <w:jc w:val="left"/>
              <w:rPr>
                <w:rFonts w:ascii="Times New Roman" w:hAnsi="Times New Roman"/>
                <w:color w:val="000000"/>
                <w:sz w:val="24"/>
              </w:rPr>
            </w:pPr>
            <w:r>
              <w:rPr>
                <w:rFonts w:ascii="Times New Roman" w:hAnsi="Times New Roman"/>
                <w:color w:val="000000"/>
                <w:sz w:val="24"/>
              </w:rPr>
              <w:t>Section 4.1.</w:t>
            </w:r>
          </w:p>
        </w:tc>
        <w:tc>
          <w:tcPr>
            <w:tcW w:w="5327" w:type="dxa"/>
            <w:tcBorders/>
            <w:shd w:fill="FFFFFF" w:val="clear"/>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Payment of Principal and Interest.</w:t>
            </w:r>
          </w:p>
        </w:tc>
        <w:tc>
          <w:tcPr>
            <w:tcW w:w="636" w:type="dxa"/>
            <w:tcBorders/>
            <w:shd w:fill="FFFFFF" w:val="clear"/>
            <w:tcMar>
              <w:top w:w="0" w:type="dxa"/>
              <w:left w:w="0" w:type="dxa"/>
              <w:bottom w:w="0" w:type="dxa"/>
              <w:right w:w="0" w:type="dxa"/>
            </w:tcMar>
            <w:vAlign w:val="center"/>
          </w:tcPr>
          <w:p>
            <w:pPr>
              <w:pStyle w:val="TableContents"/>
              <w:bidi w:val="0"/>
              <w:spacing w:before="240" w:after="283"/>
              <w:ind w:left="0" w:right="0" w:firstLine="245"/>
              <w:jc w:val="right"/>
              <w:rPr>
                <w:rFonts w:ascii="Times New Roman" w:hAnsi="Times New Roman"/>
                <w:color w:val="000000"/>
                <w:sz w:val="24"/>
              </w:rPr>
            </w:pPr>
            <w:r>
              <w:rPr>
                <w:rFonts w:ascii="Times New Roman" w:hAnsi="Times New Roman"/>
                <w:color w:val="000000"/>
                <w:sz w:val="24"/>
              </w:rPr>
              <w:t>22</w:t>
            </w:r>
          </w:p>
        </w:tc>
      </w:tr>
      <w:tr>
        <w:trPr/>
        <w:tc>
          <w:tcPr>
            <w:tcW w:w="173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4.2.</w:t>
            </w:r>
          </w:p>
        </w:tc>
        <w:tc>
          <w:tcPr>
            <w:tcW w:w="5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 Reports.</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22</w:t>
            </w:r>
          </w:p>
        </w:tc>
      </w:tr>
      <w:tr>
        <w:trPr/>
        <w:tc>
          <w:tcPr>
            <w:tcW w:w="173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4.3.</w:t>
            </w:r>
          </w:p>
        </w:tc>
        <w:tc>
          <w:tcPr>
            <w:tcW w:w="5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Compliance Certificate.</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22</w:t>
            </w:r>
          </w:p>
        </w:tc>
      </w:tr>
      <w:tr>
        <w:trPr/>
        <w:tc>
          <w:tcPr>
            <w:tcW w:w="173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4.4.</w:t>
            </w:r>
          </w:p>
        </w:tc>
        <w:tc>
          <w:tcPr>
            <w:tcW w:w="5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Stay, Extension and Usury Laws.</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23</w:t>
            </w:r>
          </w:p>
        </w:tc>
      </w:tr>
      <w:tr>
        <w:trPr/>
        <w:tc>
          <w:tcPr>
            <w:tcW w:w="7065" w:type="dxa"/>
            <w:gridSpan w:val="2"/>
            <w:tcBorders/>
            <w:shd w:fill="FFFFFF" w:val="clear"/>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Article 5 SUCCESSORS</w:t>
            </w:r>
          </w:p>
        </w:tc>
        <w:tc>
          <w:tcPr>
            <w:tcW w:w="636" w:type="dxa"/>
            <w:tcBorders/>
            <w:shd w:fill="FFFFFF" w:val="clear"/>
            <w:tcMar>
              <w:top w:w="0" w:type="dxa"/>
              <w:left w:w="0" w:type="dxa"/>
              <w:bottom w:w="0" w:type="dxa"/>
              <w:right w:w="0" w:type="dxa"/>
            </w:tcMar>
            <w:vAlign w:val="center"/>
          </w:tcPr>
          <w:p>
            <w:pPr>
              <w:pStyle w:val="TableContents"/>
              <w:bidi w:val="0"/>
              <w:spacing w:before="240" w:after="283"/>
              <w:ind w:left="0" w:right="0" w:firstLine="245"/>
              <w:jc w:val="right"/>
              <w:rPr>
                <w:rFonts w:ascii="Times New Roman" w:hAnsi="Times New Roman"/>
                <w:color w:val="000000"/>
                <w:sz w:val="24"/>
              </w:rPr>
            </w:pPr>
            <w:r>
              <w:rPr>
                <w:rFonts w:ascii="Times New Roman" w:hAnsi="Times New Roman"/>
                <w:color w:val="000000"/>
                <w:sz w:val="24"/>
              </w:rPr>
              <w:t>23</w:t>
            </w:r>
          </w:p>
        </w:tc>
      </w:tr>
      <w:tr>
        <w:trPr/>
        <w:tc>
          <w:tcPr>
            <w:tcW w:w="1738" w:type="dxa"/>
            <w:tcBorders/>
            <w:shd w:fill="FFFFFF" w:val="clear"/>
            <w:tcMar>
              <w:top w:w="0" w:type="dxa"/>
              <w:left w:w="0" w:type="dxa"/>
              <w:bottom w:w="0" w:type="dxa"/>
              <w:right w:w="0" w:type="dxa"/>
            </w:tcMar>
            <w:vAlign w:val="center"/>
          </w:tcPr>
          <w:p>
            <w:pPr>
              <w:pStyle w:val="TableContents"/>
              <w:bidi w:val="0"/>
              <w:spacing w:before="240" w:after="283"/>
              <w:ind w:left="0" w:right="0" w:firstLine="245"/>
              <w:jc w:val="left"/>
              <w:rPr>
                <w:rFonts w:ascii="Times New Roman" w:hAnsi="Times New Roman"/>
                <w:color w:val="000000"/>
                <w:sz w:val="24"/>
              </w:rPr>
            </w:pPr>
            <w:r>
              <w:rPr>
                <w:rFonts w:ascii="Times New Roman" w:hAnsi="Times New Roman"/>
                <w:color w:val="000000"/>
                <w:sz w:val="24"/>
              </w:rPr>
              <w:t>Section 5.1.</w:t>
            </w:r>
          </w:p>
        </w:tc>
        <w:tc>
          <w:tcPr>
            <w:tcW w:w="5327" w:type="dxa"/>
            <w:tcBorders/>
            <w:shd w:fill="FFFFFF" w:val="clear"/>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When Company May Merge, Etc.</w:t>
            </w:r>
          </w:p>
        </w:tc>
        <w:tc>
          <w:tcPr>
            <w:tcW w:w="636" w:type="dxa"/>
            <w:tcBorders/>
            <w:shd w:fill="FFFFFF" w:val="clear"/>
            <w:tcMar>
              <w:top w:w="0" w:type="dxa"/>
              <w:left w:w="0" w:type="dxa"/>
              <w:bottom w:w="0" w:type="dxa"/>
              <w:right w:w="0" w:type="dxa"/>
            </w:tcMar>
            <w:vAlign w:val="center"/>
          </w:tcPr>
          <w:p>
            <w:pPr>
              <w:pStyle w:val="TableContents"/>
              <w:bidi w:val="0"/>
              <w:spacing w:before="240" w:after="283"/>
              <w:jc w:val="right"/>
              <w:rPr>
                <w:rFonts w:ascii="Times New Roman" w:hAnsi="Times New Roman"/>
                <w:color w:val="000000"/>
                <w:sz w:val="24"/>
              </w:rPr>
            </w:pPr>
            <w:r>
              <w:rPr>
                <w:rFonts w:ascii="Times New Roman" w:hAnsi="Times New Roman"/>
                <w:color w:val="000000"/>
                <w:sz w:val="24"/>
              </w:rPr>
              <w:t>23</w:t>
            </w:r>
          </w:p>
        </w:tc>
      </w:tr>
    </w:tbl>
    <w:p>
      <w:pPr>
        <w:pStyle w:val="HorizontalLine"/>
        <w:pBdr>
          <w:bottom w:val="double" w:sz="2" w:space="0" w:color="808080"/>
        </w:pBdr>
        <w:bidi w:val="0"/>
        <w:spacing w:before="0" w:after="283"/>
        <w:jc w:val="left"/>
        <w:rPr/>
      </w:pPr>
      <w:r>
        <w:rPr/>
      </w:r>
    </w:p>
    <w:tbl>
      <w:tblPr>
        <w:tblW w:w="8533" w:type="dxa"/>
        <w:jc w:val="left"/>
        <w:tblInd w:w="0" w:type="dxa"/>
        <w:tblLayout w:type="fixed"/>
        <w:tblCellMar>
          <w:top w:w="28" w:type="dxa"/>
          <w:left w:w="28" w:type="dxa"/>
          <w:bottom w:w="28" w:type="dxa"/>
          <w:right w:w="28" w:type="dxa"/>
        </w:tblCellMar>
      </w:tblPr>
      <w:tblGrid>
        <w:gridCol w:w="1611"/>
        <w:gridCol w:w="6286"/>
        <w:gridCol w:w="636"/>
      </w:tblGrid>
      <w:tr>
        <w:trPr/>
        <w:tc>
          <w:tcPr>
            <w:tcW w:w="1611" w:type="dxa"/>
            <w:tcBorders/>
            <w:vAlign w:val="center"/>
          </w:tcPr>
          <w:p>
            <w:pPr>
              <w:pStyle w:val="TableContents"/>
              <w:bidi w:val="0"/>
              <w:spacing w:before="0" w:after="283"/>
              <w:jc w:val="left"/>
              <w:rPr>
                <w:sz w:val="4"/>
                <w:szCs w:val="4"/>
              </w:rPr>
            </w:pPr>
            <w:r>
              <w:rPr>
                <w:sz w:val="4"/>
                <w:szCs w:val="4"/>
              </w:rPr>
            </w:r>
          </w:p>
        </w:tc>
        <w:tc>
          <w:tcPr>
            <w:tcW w:w="628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5.2.</w:t>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Successor Corporation Substituted.</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23</w:t>
            </w:r>
          </w:p>
        </w:tc>
      </w:tr>
      <w:tr>
        <w:trPr/>
        <w:tc>
          <w:tcPr>
            <w:tcW w:w="7897" w:type="dxa"/>
            <w:gridSpan w:val="2"/>
            <w:tcBorders/>
            <w:shd w:fill="FFFFFF" w:val="clear"/>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Article 6 DEFAULTS AND REMEDIES</w:t>
            </w:r>
          </w:p>
        </w:tc>
        <w:tc>
          <w:tcPr>
            <w:tcW w:w="636" w:type="dxa"/>
            <w:tcBorders/>
            <w:shd w:fill="FFFFFF" w:val="clear"/>
            <w:tcMar>
              <w:top w:w="0" w:type="dxa"/>
              <w:left w:w="0" w:type="dxa"/>
              <w:bottom w:w="0" w:type="dxa"/>
              <w:right w:w="0" w:type="dxa"/>
            </w:tcMar>
            <w:vAlign w:val="center"/>
          </w:tcPr>
          <w:p>
            <w:pPr>
              <w:pStyle w:val="TableContents"/>
              <w:bidi w:val="0"/>
              <w:spacing w:before="240" w:after="283"/>
              <w:ind w:left="0" w:right="0" w:firstLine="245"/>
              <w:jc w:val="right"/>
              <w:rPr>
                <w:rFonts w:ascii="Times New Roman" w:hAnsi="Times New Roman"/>
                <w:color w:val="000000"/>
                <w:sz w:val="24"/>
              </w:rPr>
            </w:pPr>
            <w:r>
              <w:rPr>
                <w:rFonts w:ascii="Times New Roman" w:hAnsi="Times New Roman"/>
                <w:color w:val="000000"/>
                <w:sz w:val="24"/>
              </w:rPr>
              <w:t>24</w:t>
            </w:r>
          </w:p>
        </w:tc>
      </w:tr>
      <w:tr>
        <w:trPr/>
        <w:tc>
          <w:tcPr>
            <w:tcW w:w="1611" w:type="dxa"/>
            <w:tcBorders/>
            <w:shd w:fill="FFFFFF" w:val="clear"/>
            <w:tcMar>
              <w:top w:w="0" w:type="dxa"/>
              <w:left w:w="0" w:type="dxa"/>
              <w:bottom w:w="0" w:type="dxa"/>
              <w:right w:w="0" w:type="dxa"/>
            </w:tcMar>
            <w:vAlign w:val="center"/>
          </w:tcPr>
          <w:p>
            <w:pPr>
              <w:pStyle w:val="TableContents"/>
              <w:bidi w:val="0"/>
              <w:spacing w:before="240" w:after="283"/>
              <w:ind w:left="0" w:right="0" w:firstLine="245"/>
              <w:jc w:val="left"/>
              <w:rPr>
                <w:rFonts w:ascii="Times New Roman" w:hAnsi="Times New Roman"/>
                <w:color w:val="000000"/>
                <w:sz w:val="24"/>
              </w:rPr>
            </w:pPr>
            <w:r>
              <w:rPr>
                <w:rFonts w:ascii="Times New Roman" w:hAnsi="Times New Roman"/>
                <w:color w:val="000000"/>
                <w:sz w:val="24"/>
              </w:rPr>
              <w:t>Section 6.1.</w:t>
            </w:r>
          </w:p>
        </w:tc>
        <w:tc>
          <w:tcPr>
            <w:tcW w:w="6286" w:type="dxa"/>
            <w:tcBorders/>
            <w:shd w:fill="FFFFFF" w:val="clear"/>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Events of Default.</w:t>
            </w:r>
          </w:p>
        </w:tc>
        <w:tc>
          <w:tcPr>
            <w:tcW w:w="636" w:type="dxa"/>
            <w:tcBorders/>
            <w:shd w:fill="FFFFFF" w:val="clear"/>
            <w:tcMar>
              <w:top w:w="0" w:type="dxa"/>
              <w:left w:w="0" w:type="dxa"/>
              <w:bottom w:w="0" w:type="dxa"/>
              <w:right w:w="0" w:type="dxa"/>
            </w:tcMar>
            <w:vAlign w:val="center"/>
          </w:tcPr>
          <w:p>
            <w:pPr>
              <w:pStyle w:val="TableContents"/>
              <w:bidi w:val="0"/>
              <w:spacing w:before="240" w:after="283"/>
              <w:ind w:left="0" w:right="0" w:firstLine="245"/>
              <w:jc w:val="right"/>
              <w:rPr>
                <w:rFonts w:ascii="Times New Roman" w:hAnsi="Times New Roman"/>
                <w:color w:val="000000"/>
                <w:sz w:val="24"/>
              </w:rPr>
            </w:pPr>
            <w:r>
              <w:rPr>
                <w:rFonts w:ascii="Times New Roman" w:hAnsi="Times New Roman"/>
                <w:color w:val="000000"/>
                <w:sz w:val="24"/>
              </w:rPr>
              <w:t>24</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6.2.</w:t>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Acceleration of Maturity; Rescission and Annulment.</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25</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6.3.</w:t>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Collection of Indebtedness and Suits for Enforcement by Trustee.</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26</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6.4.</w:t>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Trustee May File Proofs of Claim.</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26</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6.5.</w:t>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Trustee May Enforce Claims Without Possession of Securities.</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27</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6.6.</w:t>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Application of Money Collected.</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27</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6.7.</w:t>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Limitation on Suits.</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28</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6.8.</w:t>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Unconditional Right of Holders to Receive Principal and Interest.</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28</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6.9.</w:t>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Restoration of Rights and Remedies.</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29</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6.10.</w:t>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Rights and Remedies Cumulative.</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29</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6.11.</w:t>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Delay or Omission Not Waiver.</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29</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6.12.</w:t>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Control by Holders.</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29</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6.13.</w:t>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Waiver of Past Defaults.</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30</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6.14.</w:t>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Undertaking for Costs.</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30</w:t>
            </w:r>
          </w:p>
        </w:tc>
      </w:tr>
      <w:tr>
        <w:trPr/>
        <w:tc>
          <w:tcPr>
            <w:tcW w:w="7897" w:type="dxa"/>
            <w:gridSpan w:val="2"/>
            <w:tcBorders/>
            <w:shd w:fill="FFFFFF" w:val="clear"/>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Article 7 TRUSTEE</w:t>
            </w:r>
          </w:p>
        </w:tc>
        <w:tc>
          <w:tcPr>
            <w:tcW w:w="636" w:type="dxa"/>
            <w:tcBorders/>
            <w:shd w:fill="FFFFFF" w:val="clear"/>
            <w:tcMar>
              <w:top w:w="0" w:type="dxa"/>
              <w:left w:w="0" w:type="dxa"/>
              <w:bottom w:w="0" w:type="dxa"/>
              <w:right w:w="0" w:type="dxa"/>
            </w:tcMar>
            <w:vAlign w:val="center"/>
          </w:tcPr>
          <w:p>
            <w:pPr>
              <w:pStyle w:val="TableContents"/>
              <w:bidi w:val="0"/>
              <w:spacing w:before="240" w:after="283"/>
              <w:ind w:left="0" w:right="0" w:firstLine="245"/>
              <w:jc w:val="right"/>
              <w:rPr>
                <w:rFonts w:ascii="Times New Roman" w:hAnsi="Times New Roman"/>
                <w:color w:val="000000"/>
                <w:sz w:val="24"/>
              </w:rPr>
            </w:pPr>
            <w:r>
              <w:rPr>
                <w:rFonts w:ascii="Times New Roman" w:hAnsi="Times New Roman"/>
                <w:color w:val="000000"/>
                <w:sz w:val="24"/>
              </w:rPr>
              <w:t>30</w:t>
            </w:r>
          </w:p>
        </w:tc>
      </w:tr>
      <w:tr>
        <w:trPr/>
        <w:tc>
          <w:tcPr>
            <w:tcW w:w="1611" w:type="dxa"/>
            <w:tcBorders/>
            <w:shd w:fill="FFFFFF" w:val="clear"/>
            <w:tcMar>
              <w:top w:w="0" w:type="dxa"/>
              <w:left w:w="0" w:type="dxa"/>
              <w:bottom w:w="0" w:type="dxa"/>
              <w:right w:w="0" w:type="dxa"/>
            </w:tcMar>
            <w:vAlign w:val="center"/>
          </w:tcPr>
          <w:p>
            <w:pPr>
              <w:pStyle w:val="TableContents"/>
              <w:bidi w:val="0"/>
              <w:spacing w:before="240" w:after="283"/>
              <w:ind w:left="0" w:right="0" w:firstLine="245"/>
              <w:jc w:val="left"/>
              <w:rPr>
                <w:rFonts w:ascii="Times New Roman" w:hAnsi="Times New Roman"/>
                <w:color w:val="000000"/>
                <w:sz w:val="24"/>
              </w:rPr>
            </w:pPr>
            <w:r>
              <w:rPr>
                <w:rFonts w:ascii="Times New Roman" w:hAnsi="Times New Roman"/>
                <w:color w:val="000000"/>
                <w:sz w:val="24"/>
              </w:rPr>
              <w:t>Section 7.1.</w:t>
            </w:r>
          </w:p>
        </w:tc>
        <w:tc>
          <w:tcPr>
            <w:tcW w:w="6286" w:type="dxa"/>
            <w:tcBorders/>
            <w:shd w:fill="FFFFFF" w:val="clear"/>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Duties of Trustee.</w:t>
            </w:r>
          </w:p>
        </w:tc>
        <w:tc>
          <w:tcPr>
            <w:tcW w:w="636" w:type="dxa"/>
            <w:tcBorders/>
            <w:shd w:fill="FFFFFF" w:val="clear"/>
            <w:tcMar>
              <w:top w:w="0" w:type="dxa"/>
              <w:left w:w="0" w:type="dxa"/>
              <w:bottom w:w="0" w:type="dxa"/>
              <w:right w:w="0" w:type="dxa"/>
            </w:tcMar>
            <w:vAlign w:val="center"/>
          </w:tcPr>
          <w:p>
            <w:pPr>
              <w:pStyle w:val="TableContents"/>
              <w:bidi w:val="0"/>
              <w:spacing w:before="240" w:after="283"/>
              <w:ind w:left="0" w:right="0" w:firstLine="245"/>
              <w:jc w:val="right"/>
              <w:rPr>
                <w:rFonts w:ascii="Times New Roman" w:hAnsi="Times New Roman"/>
                <w:color w:val="000000"/>
                <w:sz w:val="24"/>
              </w:rPr>
            </w:pPr>
            <w:r>
              <w:rPr>
                <w:rFonts w:ascii="Times New Roman" w:hAnsi="Times New Roman"/>
                <w:color w:val="000000"/>
                <w:sz w:val="24"/>
              </w:rPr>
              <w:t>30</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7.2.</w:t>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Rights of Trustee.</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32</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7.3.</w:t>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Individual Rights of Trustee.</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33</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7.4.</w:t>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Trustee’s Disclaimer.</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33</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7.5.</w:t>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Notice of Defaults.</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33</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7.6.</w:t>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Reports by Trustee to Holders.</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33</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7.7.</w:t>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Compensation and Indemnity.</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34</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7.8.</w:t>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Replacement of Trustee.</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35</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7.9.</w:t>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Successor Trustee by Merger, Etc.</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36</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7.10.</w:t>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Eligibility; Disqualification.</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36</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7.11.</w:t>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Preferential Collection of Claims Against Company.</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36</w:t>
            </w:r>
          </w:p>
        </w:tc>
      </w:tr>
      <w:tr>
        <w:trPr/>
        <w:tc>
          <w:tcPr>
            <w:tcW w:w="7897" w:type="dxa"/>
            <w:gridSpan w:val="2"/>
            <w:tcBorders/>
            <w:shd w:fill="FFFFFF" w:val="clear"/>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Article 8 SATISFACTION AND DISCHARGE; DEFEASANCE</w:t>
            </w:r>
          </w:p>
        </w:tc>
        <w:tc>
          <w:tcPr>
            <w:tcW w:w="636" w:type="dxa"/>
            <w:tcBorders/>
            <w:shd w:fill="FFFFFF" w:val="clear"/>
            <w:tcMar>
              <w:top w:w="0" w:type="dxa"/>
              <w:left w:w="0" w:type="dxa"/>
              <w:bottom w:w="0" w:type="dxa"/>
              <w:right w:w="0" w:type="dxa"/>
            </w:tcMar>
            <w:vAlign w:val="center"/>
          </w:tcPr>
          <w:p>
            <w:pPr>
              <w:pStyle w:val="TableContents"/>
              <w:bidi w:val="0"/>
              <w:spacing w:before="240" w:after="283"/>
              <w:ind w:left="0" w:right="0" w:firstLine="245"/>
              <w:jc w:val="right"/>
              <w:rPr>
                <w:rFonts w:ascii="Times New Roman" w:hAnsi="Times New Roman"/>
                <w:color w:val="000000"/>
                <w:sz w:val="24"/>
              </w:rPr>
            </w:pPr>
            <w:r>
              <w:rPr>
                <w:rFonts w:ascii="Times New Roman" w:hAnsi="Times New Roman"/>
                <w:color w:val="000000"/>
                <w:sz w:val="24"/>
              </w:rPr>
              <w:t>36</w:t>
            </w:r>
          </w:p>
        </w:tc>
      </w:tr>
      <w:tr>
        <w:trPr/>
        <w:tc>
          <w:tcPr>
            <w:tcW w:w="1611" w:type="dxa"/>
            <w:tcBorders/>
            <w:shd w:fill="FFFFFF" w:val="clear"/>
            <w:tcMar>
              <w:top w:w="0" w:type="dxa"/>
              <w:left w:w="0" w:type="dxa"/>
              <w:bottom w:w="0" w:type="dxa"/>
              <w:right w:w="0" w:type="dxa"/>
            </w:tcMar>
            <w:vAlign w:val="center"/>
          </w:tcPr>
          <w:p>
            <w:pPr>
              <w:pStyle w:val="TableContents"/>
              <w:bidi w:val="0"/>
              <w:spacing w:before="240" w:after="283"/>
              <w:ind w:left="0" w:right="0" w:firstLine="245"/>
              <w:jc w:val="left"/>
              <w:rPr>
                <w:rFonts w:ascii="Times New Roman" w:hAnsi="Times New Roman"/>
                <w:color w:val="000000"/>
                <w:sz w:val="24"/>
              </w:rPr>
            </w:pPr>
            <w:r>
              <w:rPr>
                <w:rFonts w:ascii="Times New Roman" w:hAnsi="Times New Roman"/>
                <w:color w:val="000000"/>
                <w:sz w:val="24"/>
              </w:rPr>
              <w:t>Section 8.1.</w:t>
            </w:r>
          </w:p>
        </w:tc>
        <w:tc>
          <w:tcPr>
            <w:tcW w:w="6286" w:type="dxa"/>
            <w:tcBorders/>
            <w:shd w:fill="FFFFFF" w:val="clear"/>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Satisfaction and Discharge of Indenture.</w:t>
            </w:r>
          </w:p>
        </w:tc>
        <w:tc>
          <w:tcPr>
            <w:tcW w:w="636" w:type="dxa"/>
            <w:tcBorders/>
            <w:shd w:fill="FFFFFF" w:val="clear"/>
            <w:tcMar>
              <w:top w:w="0" w:type="dxa"/>
              <w:left w:w="0" w:type="dxa"/>
              <w:bottom w:w="0" w:type="dxa"/>
              <w:right w:w="0" w:type="dxa"/>
            </w:tcMar>
            <w:vAlign w:val="center"/>
          </w:tcPr>
          <w:p>
            <w:pPr>
              <w:pStyle w:val="TableContents"/>
              <w:bidi w:val="0"/>
              <w:spacing w:before="240" w:after="283"/>
              <w:ind w:left="0" w:right="0" w:firstLine="245"/>
              <w:jc w:val="right"/>
              <w:rPr>
                <w:rFonts w:ascii="Times New Roman" w:hAnsi="Times New Roman"/>
                <w:color w:val="000000"/>
                <w:sz w:val="24"/>
              </w:rPr>
            </w:pPr>
            <w:r>
              <w:rPr>
                <w:rFonts w:ascii="Times New Roman" w:hAnsi="Times New Roman"/>
                <w:color w:val="000000"/>
                <w:sz w:val="24"/>
              </w:rPr>
              <w:t>36</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8.2.</w:t>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Application of Trust Funds; Indemnification.</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37</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8.3.</w:t>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Legal Defeasance of Securities of any Series.</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38</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8.4.</w:t>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Covenant Defeasance.</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39</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8.5.</w:t>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Repayment to Company.</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40</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8.6.</w:t>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Reinstatement.</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40</w:t>
            </w:r>
          </w:p>
        </w:tc>
      </w:tr>
      <w:tr>
        <w:trPr/>
        <w:tc>
          <w:tcPr>
            <w:tcW w:w="7897" w:type="dxa"/>
            <w:gridSpan w:val="2"/>
            <w:tcBorders/>
            <w:shd w:fill="FFFFFF" w:val="clear"/>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Article 9 AMENDMENTS AND WAIVERS</w:t>
            </w:r>
          </w:p>
        </w:tc>
        <w:tc>
          <w:tcPr>
            <w:tcW w:w="636" w:type="dxa"/>
            <w:tcBorders/>
            <w:shd w:fill="FFFFFF" w:val="clear"/>
            <w:tcMar>
              <w:top w:w="0" w:type="dxa"/>
              <w:left w:w="0" w:type="dxa"/>
              <w:bottom w:w="0" w:type="dxa"/>
              <w:right w:w="0" w:type="dxa"/>
            </w:tcMar>
            <w:vAlign w:val="center"/>
          </w:tcPr>
          <w:p>
            <w:pPr>
              <w:pStyle w:val="TableContents"/>
              <w:bidi w:val="0"/>
              <w:spacing w:before="240" w:after="283"/>
              <w:ind w:left="0" w:right="0" w:firstLine="245"/>
              <w:jc w:val="right"/>
              <w:rPr>
                <w:rFonts w:ascii="Times New Roman" w:hAnsi="Times New Roman"/>
                <w:color w:val="000000"/>
                <w:sz w:val="24"/>
              </w:rPr>
            </w:pPr>
            <w:r>
              <w:rPr>
                <w:rFonts w:ascii="Times New Roman" w:hAnsi="Times New Roman"/>
                <w:color w:val="000000"/>
                <w:sz w:val="24"/>
              </w:rPr>
              <w:t>41</w:t>
            </w:r>
          </w:p>
        </w:tc>
      </w:tr>
      <w:tr>
        <w:trPr/>
        <w:tc>
          <w:tcPr>
            <w:tcW w:w="1611" w:type="dxa"/>
            <w:tcBorders/>
            <w:shd w:fill="FFFFFF" w:val="clear"/>
            <w:tcMar>
              <w:top w:w="0" w:type="dxa"/>
              <w:left w:w="0" w:type="dxa"/>
              <w:bottom w:w="0" w:type="dxa"/>
              <w:right w:w="0" w:type="dxa"/>
            </w:tcMar>
            <w:vAlign w:val="center"/>
          </w:tcPr>
          <w:p>
            <w:pPr>
              <w:pStyle w:val="TableContents"/>
              <w:bidi w:val="0"/>
              <w:spacing w:before="240" w:after="283"/>
              <w:ind w:left="0" w:right="0" w:firstLine="245"/>
              <w:jc w:val="left"/>
              <w:rPr>
                <w:rFonts w:ascii="Times New Roman" w:hAnsi="Times New Roman"/>
                <w:color w:val="000000"/>
                <w:sz w:val="24"/>
              </w:rPr>
            </w:pPr>
            <w:r>
              <w:rPr>
                <w:rFonts w:ascii="Times New Roman" w:hAnsi="Times New Roman"/>
                <w:color w:val="000000"/>
                <w:sz w:val="24"/>
              </w:rPr>
              <w:t>Section 9.1.</w:t>
            </w:r>
          </w:p>
        </w:tc>
        <w:tc>
          <w:tcPr>
            <w:tcW w:w="6286" w:type="dxa"/>
            <w:tcBorders/>
            <w:shd w:fill="FFFFFF" w:val="clear"/>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Without Consent of Holders.</w:t>
            </w:r>
          </w:p>
        </w:tc>
        <w:tc>
          <w:tcPr>
            <w:tcW w:w="636" w:type="dxa"/>
            <w:tcBorders/>
            <w:shd w:fill="FFFFFF" w:val="clear"/>
            <w:tcMar>
              <w:top w:w="0" w:type="dxa"/>
              <w:left w:w="0" w:type="dxa"/>
              <w:bottom w:w="0" w:type="dxa"/>
              <w:right w:w="0" w:type="dxa"/>
            </w:tcMar>
            <w:vAlign w:val="center"/>
          </w:tcPr>
          <w:p>
            <w:pPr>
              <w:pStyle w:val="TableContents"/>
              <w:bidi w:val="0"/>
              <w:spacing w:before="240" w:after="283"/>
              <w:ind w:left="0" w:right="0" w:firstLine="245"/>
              <w:jc w:val="right"/>
              <w:rPr>
                <w:rFonts w:ascii="Times New Roman" w:hAnsi="Times New Roman"/>
                <w:color w:val="000000"/>
                <w:sz w:val="24"/>
              </w:rPr>
            </w:pPr>
            <w:r>
              <w:rPr>
                <w:rFonts w:ascii="Times New Roman" w:hAnsi="Times New Roman"/>
                <w:color w:val="000000"/>
                <w:sz w:val="24"/>
              </w:rPr>
              <w:t>41</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9.2.</w:t>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With Consent of Holders.</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42</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9.3.</w:t>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Limitations.</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42</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9.4.</w:t>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Compliance with Trust Indenture Act.</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43</w:t>
            </w:r>
          </w:p>
        </w:tc>
      </w:tr>
    </w:tbl>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tbl>
      <w:tblPr>
        <w:tblW w:w="8368" w:type="dxa"/>
        <w:jc w:val="left"/>
        <w:tblInd w:w="0" w:type="dxa"/>
        <w:tblLayout w:type="fixed"/>
        <w:tblCellMar>
          <w:top w:w="28" w:type="dxa"/>
          <w:left w:w="28" w:type="dxa"/>
          <w:bottom w:w="28" w:type="dxa"/>
          <w:right w:w="28" w:type="dxa"/>
        </w:tblCellMar>
      </w:tblPr>
      <w:tblGrid>
        <w:gridCol w:w="1731"/>
        <w:gridCol w:w="6001"/>
        <w:gridCol w:w="636"/>
      </w:tblGrid>
      <w:tr>
        <w:trPr/>
        <w:tc>
          <w:tcPr>
            <w:tcW w:w="1731" w:type="dxa"/>
            <w:tcBorders/>
            <w:vAlign w:val="center"/>
          </w:tcPr>
          <w:p>
            <w:pPr>
              <w:pStyle w:val="TableContents"/>
              <w:bidi w:val="0"/>
              <w:spacing w:before="0" w:after="283"/>
              <w:jc w:val="left"/>
              <w:rPr>
                <w:sz w:val="4"/>
                <w:szCs w:val="4"/>
              </w:rPr>
            </w:pPr>
            <w:r>
              <w:rPr>
                <w:sz w:val="4"/>
                <w:szCs w:val="4"/>
              </w:rPr>
            </w:r>
          </w:p>
        </w:tc>
        <w:tc>
          <w:tcPr>
            <w:tcW w:w="600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17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9.5.</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Revocation and Effect of Consents.</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43</w:t>
            </w:r>
          </w:p>
        </w:tc>
      </w:tr>
      <w:tr>
        <w:trPr/>
        <w:tc>
          <w:tcPr>
            <w:tcW w:w="17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9.6.</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Notation on or Exchange of Securities.</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43</w:t>
            </w:r>
          </w:p>
        </w:tc>
      </w:tr>
      <w:tr>
        <w:trPr/>
        <w:tc>
          <w:tcPr>
            <w:tcW w:w="17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9.7.</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Trustee Protected.</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43</w:t>
            </w:r>
          </w:p>
        </w:tc>
      </w:tr>
      <w:tr>
        <w:trPr/>
        <w:tc>
          <w:tcPr>
            <w:tcW w:w="7732" w:type="dxa"/>
            <w:gridSpan w:val="2"/>
            <w:tcBorders/>
            <w:shd w:fill="FFFFFF" w:val="clear"/>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Article 10 MISCELLANEOUS</w:t>
            </w:r>
          </w:p>
        </w:tc>
        <w:tc>
          <w:tcPr>
            <w:tcW w:w="636" w:type="dxa"/>
            <w:tcBorders/>
            <w:shd w:fill="FFFFFF" w:val="clear"/>
            <w:tcMar>
              <w:top w:w="0" w:type="dxa"/>
              <w:left w:w="0" w:type="dxa"/>
              <w:bottom w:w="0" w:type="dxa"/>
              <w:right w:w="0" w:type="dxa"/>
            </w:tcMar>
            <w:vAlign w:val="center"/>
          </w:tcPr>
          <w:p>
            <w:pPr>
              <w:pStyle w:val="TableContents"/>
              <w:bidi w:val="0"/>
              <w:spacing w:before="240" w:after="283"/>
              <w:ind w:left="0" w:right="0" w:firstLine="245"/>
              <w:jc w:val="right"/>
              <w:rPr>
                <w:rFonts w:ascii="Times New Roman" w:hAnsi="Times New Roman"/>
                <w:color w:val="000000"/>
                <w:sz w:val="24"/>
              </w:rPr>
            </w:pPr>
            <w:r>
              <w:rPr>
                <w:rFonts w:ascii="Times New Roman" w:hAnsi="Times New Roman"/>
                <w:color w:val="000000"/>
                <w:sz w:val="24"/>
              </w:rPr>
              <w:t>44</w:t>
            </w:r>
          </w:p>
        </w:tc>
      </w:tr>
      <w:tr>
        <w:trPr/>
        <w:tc>
          <w:tcPr>
            <w:tcW w:w="1731" w:type="dxa"/>
            <w:tcBorders/>
            <w:shd w:fill="FFFFFF" w:val="clear"/>
            <w:tcMar>
              <w:top w:w="0" w:type="dxa"/>
              <w:left w:w="0" w:type="dxa"/>
              <w:bottom w:w="0" w:type="dxa"/>
              <w:right w:w="0" w:type="dxa"/>
            </w:tcMar>
            <w:vAlign w:val="center"/>
          </w:tcPr>
          <w:p>
            <w:pPr>
              <w:pStyle w:val="TableContents"/>
              <w:bidi w:val="0"/>
              <w:spacing w:before="240" w:after="283"/>
              <w:ind w:left="0" w:right="0" w:firstLine="245"/>
              <w:jc w:val="left"/>
              <w:rPr>
                <w:rFonts w:ascii="Times New Roman" w:hAnsi="Times New Roman"/>
                <w:color w:val="000000"/>
                <w:sz w:val="24"/>
              </w:rPr>
            </w:pPr>
            <w:r>
              <w:rPr>
                <w:rFonts w:ascii="Times New Roman" w:hAnsi="Times New Roman"/>
                <w:color w:val="000000"/>
                <w:sz w:val="24"/>
              </w:rPr>
              <w:t>Section 10.1.</w:t>
            </w:r>
          </w:p>
        </w:tc>
        <w:tc>
          <w:tcPr>
            <w:tcW w:w="6001" w:type="dxa"/>
            <w:tcBorders/>
            <w:shd w:fill="FFFFFF" w:val="clear"/>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Trust Indenture Act Controls.</w:t>
            </w:r>
          </w:p>
        </w:tc>
        <w:tc>
          <w:tcPr>
            <w:tcW w:w="636" w:type="dxa"/>
            <w:tcBorders/>
            <w:shd w:fill="FFFFFF" w:val="clear"/>
            <w:tcMar>
              <w:top w:w="0" w:type="dxa"/>
              <w:left w:w="0" w:type="dxa"/>
              <w:bottom w:w="0" w:type="dxa"/>
              <w:right w:w="0" w:type="dxa"/>
            </w:tcMar>
            <w:vAlign w:val="center"/>
          </w:tcPr>
          <w:p>
            <w:pPr>
              <w:pStyle w:val="TableContents"/>
              <w:bidi w:val="0"/>
              <w:spacing w:before="240" w:after="283"/>
              <w:ind w:left="0" w:right="0" w:firstLine="245"/>
              <w:jc w:val="right"/>
              <w:rPr>
                <w:rFonts w:ascii="Times New Roman" w:hAnsi="Times New Roman"/>
                <w:color w:val="000000"/>
                <w:sz w:val="24"/>
              </w:rPr>
            </w:pPr>
            <w:r>
              <w:rPr>
                <w:rFonts w:ascii="Times New Roman" w:hAnsi="Times New Roman"/>
                <w:color w:val="000000"/>
                <w:sz w:val="24"/>
              </w:rPr>
              <w:t>44</w:t>
            </w:r>
          </w:p>
        </w:tc>
      </w:tr>
      <w:tr>
        <w:trPr/>
        <w:tc>
          <w:tcPr>
            <w:tcW w:w="17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10.2.</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Notices.</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44</w:t>
            </w:r>
          </w:p>
        </w:tc>
      </w:tr>
      <w:tr>
        <w:trPr/>
        <w:tc>
          <w:tcPr>
            <w:tcW w:w="17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10.3.</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Communication by Holders with Other Holders.</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45</w:t>
            </w:r>
          </w:p>
        </w:tc>
      </w:tr>
      <w:tr>
        <w:trPr/>
        <w:tc>
          <w:tcPr>
            <w:tcW w:w="17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10.4.</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Certificate and Opinion as to Conditions Precedent.</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45</w:t>
            </w:r>
          </w:p>
        </w:tc>
      </w:tr>
      <w:tr>
        <w:trPr/>
        <w:tc>
          <w:tcPr>
            <w:tcW w:w="17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10.5.</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Statements Required in Certificate or Opinion.</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46</w:t>
            </w:r>
          </w:p>
        </w:tc>
      </w:tr>
      <w:tr>
        <w:trPr/>
        <w:tc>
          <w:tcPr>
            <w:tcW w:w="17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10.6.</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Rules by Trustee and Agents.</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46</w:t>
            </w:r>
          </w:p>
        </w:tc>
      </w:tr>
      <w:tr>
        <w:trPr/>
        <w:tc>
          <w:tcPr>
            <w:tcW w:w="17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10.7.</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Legal Holidays.</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46</w:t>
            </w:r>
          </w:p>
        </w:tc>
      </w:tr>
      <w:tr>
        <w:trPr/>
        <w:tc>
          <w:tcPr>
            <w:tcW w:w="17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10.8.</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 Recourse Against Others.</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46</w:t>
            </w:r>
          </w:p>
        </w:tc>
      </w:tr>
      <w:tr>
        <w:trPr/>
        <w:tc>
          <w:tcPr>
            <w:tcW w:w="17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10.9.</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Counterparts.</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47</w:t>
            </w:r>
          </w:p>
        </w:tc>
      </w:tr>
      <w:tr>
        <w:trPr/>
        <w:tc>
          <w:tcPr>
            <w:tcW w:w="17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10.10.</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Governing Law; Waiver of Jury Trial; Consent to Jurisdiction.</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47</w:t>
            </w:r>
          </w:p>
        </w:tc>
      </w:tr>
      <w:tr>
        <w:trPr/>
        <w:tc>
          <w:tcPr>
            <w:tcW w:w="17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10.11.</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 Adverse Interpretation of Other Agreements.</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48</w:t>
            </w:r>
          </w:p>
        </w:tc>
      </w:tr>
      <w:tr>
        <w:trPr/>
        <w:tc>
          <w:tcPr>
            <w:tcW w:w="17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10.12.</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Successors.</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48</w:t>
            </w:r>
          </w:p>
        </w:tc>
      </w:tr>
      <w:tr>
        <w:trPr/>
        <w:tc>
          <w:tcPr>
            <w:tcW w:w="17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10.13.</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Severability.</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48</w:t>
            </w:r>
          </w:p>
        </w:tc>
      </w:tr>
      <w:tr>
        <w:trPr/>
        <w:tc>
          <w:tcPr>
            <w:tcW w:w="17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10.14.</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Table of Contents, Headings, Etc.</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48</w:t>
            </w:r>
          </w:p>
        </w:tc>
      </w:tr>
      <w:tr>
        <w:trPr/>
        <w:tc>
          <w:tcPr>
            <w:tcW w:w="17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10.15.</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Securities in a Foreign Currency.</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48</w:t>
            </w:r>
          </w:p>
        </w:tc>
      </w:tr>
      <w:tr>
        <w:trPr/>
        <w:tc>
          <w:tcPr>
            <w:tcW w:w="17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10.16.</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Judgment Currency.</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49</w:t>
            </w:r>
          </w:p>
        </w:tc>
      </w:tr>
      <w:tr>
        <w:trPr/>
        <w:tc>
          <w:tcPr>
            <w:tcW w:w="17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10.17.</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Force Majeure.</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49</w:t>
            </w:r>
          </w:p>
        </w:tc>
      </w:tr>
      <w:tr>
        <w:trPr/>
        <w:tc>
          <w:tcPr>
            <w:tcW w:w="17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10.18.</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U.S.A. Patriot Act.</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50</w:t>
            </w:r>
          </w:p>
        </w:tc>
      </w:tr>
      <w:tr>
        <w:trPr/>
        <w:tc>
          <w:tcPr>
            <w:tcW w:w="7732" w:type="dxa"/>
            <w:gridSpan w:val="2"/>
            <w:tcBorders/>
            <w:shd w:fill="FFFFFF" w:val="clear"/>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Article 11 SINKING FUNDS</w:t>
            </w:r>
          </w:p>
        </w:tc>
        <w:tc>
          <w:tcPr>
            <w:tcW w:w="636" w:type="dxa"/>
            <w:tcBorders/>
            <w:shd w:fill="FFFFFF" w:val="clear"/>
            <w:tcMar>
              <w:top w:w="0" w:type="dxa"/>
              <w:left w:w="0" w:type="dxa"/>
              <w:bottom w:w="0" w:type="dxa"/>
              <w:right w:w="0" w:type="dxa"/>
            </w:tcMar>
            <w:vAlign w:val="center"/>
          </w:tcPr>
          <w:p>
            <w:pPr>
              <w:pStyle w:val="TableContents"/>
              <w:bidi w:val="0"/>
              <w:spacing w:before="240" w:after="283"/>
              <w:ind w:left="0" w:right="0" w:firstLine="245"/>
              <w:jc w:val="right"/>
              <w:rPr>
                <w:rFonts w:ascii="Times New Roman" w:hAnsi="Times New Roman"/>
                <w:color w:val="000000"/>
                <w:sz w:val="24"/>
              </w:rPr>
            </w:pPr>
            <w:r>
              <w:rPr>
                <w:rFonts w:ascii="Times New Roman" w:hAnsi="Times New Roman"/>
                <w:color w:val="000000"/>
                <w:sz w:val="24"/>
              </w:rPr>
              <w:t>50</w:t>
            </w:r>
          </w:p>
        </w:tc>
      </w:tr>
      <w:tr>
        <w:trPr/>
        <w:tc>
          <w:tcPr>
            <w:tcW w:w="1731" w:type="dxa"/>
            <w:tcBorders/>
            <w:shd w:fill="FFFFFF" w:val="clear"/>
            <w:tcMar>
              <w:top w:w="0" w:type="dxa"/>
              <w:left w:w="0" w:type="dxa"/>
              <w:bottom w:w="0" w:type="dxa"/>
              <w:right w:w="0" w:type="dxa"/>
            </w:tcMar>
            <w:vAlign w:val="center"/>
          </w:tcPr>
          <w:p>
            <w:pPr>
              <w:pStyle w:val="TableContents"/>
              <w:bidi w:val="0"/>
              <w:spacing w:before="240" w:after="283"/>
              <w:ind w:left="0" w:right="0" w:firstLine="245"/>
              <w:jc w:val="left"/>
              <w:rPr>
                <w:rFonts w:ascii="Times New Roman" w:hAnsi="Times New Roman"/>
                <w:color w:val="000000"/>
                <w:sz w:val="24"/>
              </w:rPr>
            </w:pPr>
            <w:r>
              <w:rPr>
                <w:rFonts w:ascii="Times New Roman" w:hAnsi="Times New Roman"/>
                <w:color w:val="000000"/>
                <w:sz w:val="24"/>
              </w:rPr>
              <w:t>Section 11.1.</w:t>
            </w:r>
          </w:p>
        </w:tc>
        <w:tc>
          <w:tcPr>
            <w:tcW w:w="6001" w:type="dxa"/>
            <w:tcBorders/>
            <w:shd w:fill="FFFFFF" w:val="clear"/>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Applicability of Article.</w:t>
            </w:r>
          </w:p>
        </w:tc>
        <w:tc>
          <w:tcPr>
            <w:tcW w:w="636" w:type="dxa"/>
            <w:tcBorders/>
            <w:shd w:fill="FFFFFF" w:val="clear"/>
            <w:tcMar>
              <w:top w:w="0" w:type="dxa"/>
              <w:left w:w="0" w:type="dxa"/>
              <w:bottom w:w="0" w:type="dxa"/>
              <w:right w:w="0" w:type="dxa"/>
            </w:tcMar>
            <w:vAlign w:val="center"/>
          </w:tcPr>
          <w:p>
            <w:pPr>
              <w:pStyle w:val="TableContents"/>
              <w:bidi w:val="0"/>
              <w:spacing w:before="240" w:after="283"/>
              <w:ind w:left="0" w:right="0" w:firstLine="245"/>
              <w:jc w:val="right"/>
              <w:rPr>
                <w:rFonts w:ascii="Times New Roman" w:hAnsi="Times New Roman"/>
                <w:color w:val="000000"/>
                <w:sz w:val="24"/>
              </w:rPr>
            </w:pPr>
            <w:r>
              <w:rPr>
                <w:rFonts w:ascii="Times New Roman" w:hAnsi="Times New Roman"/>
                <w:color w:val="000000"/>
                <w:sz w:val="24"/>
              </w:rPr>
              <w:t>50</w:t>
            </w:r>
          </w:p>
        </w:tc>
      </w:tr>
      <w:tr>
        <w:trPr/>
        <w:tc>
          <w:tcPr>
            <w:tcW w:w="17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11.2.</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Satisfaction of Sinking Fund Payments with Securities.</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50</w:t>
            </w:r>
          </w:p>
        </w:tc>
      </w:tr>
      <w:tr>
        <w:trPr/>
        <w:tc>
          <w:tcPr>
            <w:tcW w:w="17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11.3.</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Redemption of Securities for Sinking Fund.</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51</w:t>
            </w:r>
          </w:p>
        </w:tc>
      </w:tr>
    </w:tbl>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CARLSMED, INC.</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Reconciliation and tie between Trust Indenture Act of 1939 and</w:t>
      </w:r>
    </w:p>
    <w:p>
      <w:pPr>
        <w:pStyle w:val="TextBody"/>
        <w:bidi w:val="0"/>
        <w:jc w:val="center"/>
        <w:rPr>
          <w:rFonts w:ascii="Times New Roman" w:hAnsi="Times New Roman"/>
          <w:color w:val="000000"/>
          <w:sz w:val="24"/>
        </w:rPr>
      </w:pPr>
      <w:r>
        <w:rPr>
          <w:rFonts w:ascii="Times New Roman" w:hAnsi="Times New Roman"/>
          <w:color w:val="000000"/>
          <w:sz w:val="24"/>
        </w:rPr>
        <w:t>Indenture, dated as of [__], 20[__]</w:t>
      </w:r>
    </w:p>
    <w:p>
      <w:pPr>
        <w:pStyle w:val="TextBody"/>
        <w:bidi w:val="0"/>
        <w:jc w:val="left"/>
        <w:rPr/>
      </w:pPr>
      <w:r>
        <w:rPr/>
        <w:t> </w:t>
      </w:r>
    </w:p>
    <w:tbl>
      <w:tblPr>
        <w:tblW w:w="2938" w:type="dxa"/>
        <w:jc w:val="left"/>
        <w:tblInd w:w="0" w:type="dxa"/>
        <w:tblLayout w:type="fixed"/>
        <w:tblCellMar>
          <w:top w:w="28" w:type="dxa"/>
          <w:left w:w="28" w:type="dxa"/>
          <w:bottom w:w="28" w:type="dxa"/>
          <w:right w:w="28" w:type="dxa"/>
        </w:tblCellMar>
      </w:tblPr>
      <w:tblGrid>
        <w:gridCol w:w="1186"/>
        <w:gridCol w:w="146"/>
        <w:gridCol w:w="1606"/>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r>
      <w:tr>
        <w:trPr/>
        <w:tc>
          <w:tcPr>
            <w:tcW w:w="1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 310(a)(1)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7.10</w:t>
            </w:r>
          </w:p>
        </w:tc>
      </w:tr>
      <w:tr>
        <w:trPr/>
        <w:tc>
          <w:tcPr>
            <w:tcW w:w="1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(a)(2)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7.10</w:t>
            </w:r>
          </w:p>
        </w:tc>
      </w:tr>
      <w:tr>
        <w:trPr/>
        <w:tc>
          <w:tcPr>
            <w:tcW w:w="1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(a)(3)</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Not Applicable</w:t>
            </w:r>
          </w:p>
        </w:tc>
      </w:tr>
      <w:tr>
        <w:trPr/>
        <w:tc>
          <w:tcPr>
            <w:tcW w:w="1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(a)(4)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Not Applicable</w:t>
            </w:r>
          </w:p>
        </w:tc>
      </w:tr>
      <w:tr>
        <w:trPr/>
        <w:tc>
          <w:tcPr>
            <w:tcW w:w="1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(a)(5)</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7.10</w:t>
            </w:r>
          </w:p>
        </w:tc>
      </w:tr>
      <w:tr>
        <w:trPr/>
        <w:tc>
          <w:tcPr>
            <w:tcW w:w="1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(b)</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7.10</w:t>
            </w:r>
          </w:p>
        </w:tc>
      </w:tr>
      <w:tr>
        <w:trPr/>
        <w:tc>
          <w:tcPr>
            <w:tcW w:w="1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 311(a)</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7.11</w:t>
            </w:r>
          </w:p>
        </w:tc>
      </w:tr>
      <w:tr>
        <w:trPr/>
        <w:tc>
          <w:tcPr>
            <w:tcW w:w="1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(b)</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7.11</w:t>
            </w:r>
          </w:p>
        </w:tc>
      </w:tr>
      <w:tr>
        <w:trPr/>
        <w:tc>
          <w:tcPr>
            <w:tcW w:w="1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(c)</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Not Applicable</w:t>
            </w:r>
          </w:p>
        </w:tc>
      </w:tr>
      <w:tr>
        <w:trPr/>
        <w:tc>
          <w:tcPr>
            <w:tcW w:w="1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 312(a)</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2.6</w:t>
            </w:r>
          </w:p>
        </w:tc>
      </w:tr>
      <w:tr>
        <w:trPr/>
        <w:tc>
          <w:tcPr>
            <w:tcW w:w="1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(b)</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10.3</w:t>
            </w:r>
          </w:p>
        </w:tc>
      </w:tr>
      <w:tr>
        <w:trPr/>
        <w:tc>
          <w:tcPr>
            <w:tcW w:w="1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(c)</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10.3</w:t>
            </w:r>
          </w:p>
        </w:tc>
      </w:tr>
      <w:tr>
        <w:trPr/>
        <w:tc>
          <w:tcPr>
            <w:tcW w:w="1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 313(a)</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7.6</w:t>
            </w:r>
          </w:p>
        </w:tc>
      </w:tr>
      <w:tr>
        <w:trPr/>
        <w:tc>
          <w:tcPr>
            <w:tcW w:w="1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(b)(1)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7.6</w:t>
            </w:r>
          </w:p>
        </w:tc>
      </w:tr>
      <w:tr>
        <w:trPr/>
        <w:tc>
          <w:tcPr>
            <w:tcW w:w="1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(b)(2)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7.6</w:t>
            </w:r>
          </w:p>
        </w:tc>
      </w:tr>
      <w:tr>
        <w:trPr/>
        <w:tc>
          <w:tcPr>
            <w:tcW w:w="1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(c)(1)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7.6</w:t>
            </w:r>
          </w:p>
        </w:tc>
      </w:tr>
      <w:tr>
        <w:trPr/>
        <w:tc>
          <w:tcPr>
            <w:tcW w:w="1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(d)</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7.6</w:t>
            </w:r>
          </w:p>
        </w:tc>
      </w:tr>
      <w:tr>
        <w:trPr/>
        <w:tc>
          <w:tcPr>
            <w:tcW w:w="1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 314(a)</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4.2, 10.5</w:t>
            </w:r>
          </w:p>
        </w:tc>
      </w:tr>
      <w:tr>
        <w:trPr/>
        <w:tc>
          <w:tcPr>
            <w:tcW w:w="1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(b)</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Not Applicable</w:t>
            </w:r>
          </w:p>
        </w:tc>
      </w:tr>
      <w:tr>
        <w:trPr/>
        <w:tc>
          <w:tcPr>
            <w:tcW w:w="1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(c)(1)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10.4</w:t>
            </w:r>
          </w:p>
        </w:tc>
      </w:tr>
      <w:tr>
        <w:trPr/>
        <w:tc>
          <w:tcPr>
            <w:tcW w:w="1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(c)(2)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10.4</w:t>
            </w:r>
          </w:p>
        </w:tc>
      </w:tr>
      <w:tr>
        <w:trPr/>
        <w:tc>
          <w:tcPr>
            <w:tcW w:w="1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(c)(3)</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Not Applicable</w:t>
            </w:r>
          </w:p>
        </w:tc>
      </w:tr>
      <w:tr>
        <w:trPr/>
        <w:tc>
          <w:tcPr>
            <w:tcW w:w="1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(d)</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Not Applicable</w:t>
            </w:r>
          </w:p>
        </w:tc>
      </w:tr>
      <w:tr>
        <w:trPr/>
        <w:tc>
          <w:tcPr>
            <w:tcW w:w="1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(e)</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10.5</w:t>
            </w:r>
          </w:p>
        </w:tc>
      </w:tr>
      <w:tr>
        <w:trPr/>
        <w:tc>
          <w:tcPr>
            <w:tcW w:w="1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(f)</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Not Applicable</w:t>
            </w:r>
          </w:p>
        </w:tc>
      </w:tr>
      <w:tr>
        <w:trPr/>
        <w:tc>
          <w:tcPr>
            <w:tcW w:w="1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 315(a)</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7.1</w:t>
            </w:r>
          </w:p>
        </w:tc>
      </w:tr>
      <w:tr>
        <w:trPr/>
        <w:tc>
          <w:tcPr>
            <w:tcW w:w="1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(b)</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7.5</w:t>
            </w:r>
          </w:p>
        </w:tc>
      </w:tr>
      <w:tr>
        <w:trPr/>
        <w:tc>
          <w:tcPr>
            <w:tcW w:w="1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(c)</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7.1</w:t>
            </w:r>
          </w:p>
        </w:tc>
      </w:tr>
      <w:tr>
        <w:trPr/>
        <w:tc>
          <w:tcPr>
            <w:tcW w:w="1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(d)</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7.1</w:t>
            </w:r>
          </w:p>
        </w:tc>
      </w:tr>
      <w:tr>
        <w:trPr/>
        <w:tc>
          <w:tcPr>
            <w:tcW w:w="1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(e)</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6.14</w:t>
            </w:r>
          </w:p>
        </w:tc>
      </w:tr>
      <w:tr>
        <w:trPr/>
        <w:tc>
          <w:tcPr>
            <w:tcW w:w="1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 316(a)</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2.10</w:t>
            </w:r>
          </w:p>
        </w:tc>
      </w:tr>
      <w:tr>
        <w:trPr/>
        <w:tc>
          <w:tcPr>
            <w:tcW w:w="1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(a)(1)(A)</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6.12</w:t>
            </w:r>
          </w:p>
        </w:tc>
      </w:tr>
      <w:tr>
        <w:trPr/>
        <w:tc>
          <w:tcPr>
            <w:tcW w:w="1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(a)(1)(B)</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6.13</w:t>
            </w:r>
          </w:p>
        </w:tc>
      </w:tr>
      <w:tr>
        <w:trPr/>
        <w:tc>
          <w:tcPr>
            <w:tcW w:w="1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(b)</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6.8</w:t>
            </w:r>
          </w:p>
        </w:tc>
      </w:tr>
      <w:tr>
        <w:trPr/>
        <w:tc>
          <w:tcPr>
            <w:tcW w:w="1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 317(a)(1)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6.3</w:t>
            </w:r>
          </w:p>
        </w:tc>
      </w:tr>
      <w:tr>
        <w:trPr/>
        <w:tc>
          <w:tcPr>
            <w:tcW w:w="1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(a)(2)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6.4</w:t>
            </w:r>
          </w:p>
        </w:tc>
      </w:tr>
      <w:tr>
        <w:trPr/>
        <w:tc>
          <w:tcPr>
            <w:tcW w:w="1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(b)</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2.5</w:t>
            </w:r>
          </w:p>
        </w:tc>
      </w:tr>
      <w:tr>
        <w:trPr/>
        <w:tc>
          <w:tcPr>
            <w:tcW w:w="1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 318(a)</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6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10.1</w:t>
            </w:r>
          </w:p>
        </w:tc>
      </w:tr>
    </w:tbl>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Note: This reconciliation and tie shall not, for any purpose, be deemed to be part of the Indenture.</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4"/>
        </w:rPr>
        <w:t>Indenture dated as of __________, 20[__] between Carlsmed, Inc., a company incorporated under the laws of the State of Delaware (“</w:t>
      </w:r>
      <w:r>
        <w:rPr>
          <w:rFonts w:ascii="Times New Roman" w:hAnsi="Times New Roman"/>
          <w:i/>
          <w:color w:val="000000"/>
          <w:sz w:val="24"/>
        </w:rPr>
        <w:t>Company</w:t>
      </w:r>
      <w:r>
        <w:rPr>
          <w:rFonts w:ascii="Times New Roman" w:hAnsi="Times New Roman"/>
          <w:color w:val="000000"/>
          <w:sz w:val="20"/>
        </w:rPr>
        <w:t>”</w:t>
      </w:r>
      <w:r>
        <w:rPr>
          <w:rFonts w:ascii="Times New Roman" w:hAnsi="Times New Roman"/>
          <w:color w:val="000000"/>
          <w:sz w:val="24"/>
        </w:rPr>
        <w:t>), and [__] (“</w:t>
      </w:r>
      <w:r>
        <w:rPr>
          <w:rFonts w:ascii="Times New Roman" w:hAnsi="Times New Roman"/>
          <w:i/>
          <w:color w:val="000000"/>
          <w:sz w:val="24"/>
        </w:rPr>
        <w:t>Trustee</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party agrees as follows for the benefit of the other party and for the equal and ratable benefit of the Holders of the Securities issued under this Indenture.</w:t>
      </w:r>
    </w:p>
    <w:p>
      <w:pPr>
        <w:pStyle w:val="TextBody"/>
        <w:bidi w:val="0"/>
        <w:spacing w:before="240" w:after="283"/>
        <w:jc w:val="center"/>
        <w:rPr>
          <w:rFonts w:ascii="Times New Roman" w:hAnsi="Times New Roman"/>
          <w:caps/>
          <w:color w:val="000000"/>
          <w:sz w:val="24"/>
        </w:rPr>
      </w:pPr>
      <w:r>
        <w:rPr>
          <w:rFonts w:ascii="Times New Roman" w:hAnsi="Times New Roman"/>
          <w:caps/>
          <w:color w:val="000000"/>
          <w:sz w:val="24"/>
        </w:rPr>
        <w:t>Article 1</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DEFINITIONS AND INCORPORATION BY REFERENCE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1.1. Definitions.</w:t>
      </w:r>
    </w:p>
    <w:p>
      <w:pPr>
        <w:pStyle w:val="TextBody"/>
        <w:bidi w:val="0"/>
        <w:spacing w:before="0" w:after="240"/>
        <w:jc w:val="both"/>
        <w:rPr/>
      </w:pPr>
      <w:r>
        <w:rPr>
          <w:color w:val="000000"/>
        </w:rPr>
        <w:t>“</w:t>
      </w:r>
      <w:r>
        <w:rPr>
          <w:rFonts w:ascii="Times New Roman" w:hAnsi="Times New Roman"/>
          <w:i/>
          <w:color w:val="000000"/>
          <w:sz w:val="24"/>
        </w:rPr>
        <w:t>Additional Amounts</w:t>
      </w:r>
      <w:r>
        <w:rPr>
          <w:rFonts w:ascii="Times New Roman" w:hAnsi="Times New Roman"/>
          <w:color w:val="000000"/>
          <w:sz w:val="20"/>
        </w:rPr>
        <w:t xml:space="preserve">” </w:t>
      </w:r>
      <w:r>
        <w:rPr>
          <w:rFonts w:ascii="Times New Roman" w:hAnsi="Times New Roman"/>
          <w:color w:val="000000"/>
          <w:sz w:val="24"/>
        </w:rPr>
        <w:t>means any additional amounts which are required hereby or by any Security, under circumstances specified herein or therein, to be paid by the Company in respect of certain taxes imposed on Holders specified herein or therein and which are owing to such Holders.</w:t>
      </w:r>
    </w:p>
    <w:p>
      <w:pPr>
        <w:pStyle w:val="TextBody"/>
        <w:bidi w:val="0"/>
        <w:spacing w:before="0" w:after="240"/>
        <w:jc w:val="both"/>
        <w:rPr/>
      </w:pPr>
      <w:r>
        <w:rPr>
          <w:color w:val="000000"/>
        </w:rPr>
        <w:t>“</w:t>
      </w:r>
      <w:r>
        <w:rPr>
          <w:rFonts w:ascii="Times New Roman" w:hAnsi="Times New Roman"/>
          <w:i/>
          <w:color w:val="000000"/>
          <w:sz w:val="24"/>
        </w:rPr>
        <w:t>Affiliate</w:t>
      </w:r>
      <w:r>
        <w:rPr>
          <w:rFonts w:ascii="Times New Roman" w:hAnsi="Times New Roman"/>
          <w:color w:val="000000"/>
          <w:sz w:val="20"/>
        </w:rPr>
        <w:t xml:space="preserve">” </w:t>
      </w:r>
      <w:r>
        <w:rPr>
          <w:rFonts w:ascii="Times New Roman" w:hAnsi="Times New Roman"/>
          <w:color w:val="000000"/>
          <w:sz w:val="24"/>
        </w:rPr>
        <w:t>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pStyle w:val="TextBody"/>
        <w:bidi w:val="0"/>
        <w:spacing w:before="0" w:after="240"/>
        <w:jc w:val="both"/>
        <w:rPr/>
      </w:pPr>
      <w:r>
        <w:rPr>
          <w:color w:val="000000"/>
        </w:rPr>
        <w:t>“</w:t>
      </w:r>
      <w:r>
        <w:rPr>
          <w:rFonts w:ascii="Times New Roman" w:hAnsi="Times New Roman"/>
          <w:i/>
          <w:color w:val="000000"/>
          <w:sz w:val="24"/>
        </w:rPr>
        <w:t>Agent</w:t>
      </w:r>
      <w:r>
        <w:rPr>
          <w:rFonts w:ascii="Times New Roman" w:hAnsi="Times New Roman"/>
          <w:color w:val="000000"/>
          <w:sz w:val="20"/>
        </w:rPr>
        <w:t xml:space="preserve">” </w:t>
      </w:r>
      <w:r>
        <w:rPr>
          <w:rFonts w:ascii="Times New Roman" w:hAnsi="Times New Roman"/>
          <w:color w:val="000000"/>
          <w:sz w:val="24"/>
        </w:rPr>
        <w:t>means any Registrar, Paying Agent or Notice Agent.</w:t>
      </w:r>
    </w:p>
    <w:p>
      <w:pPr>
        <w:pStyle w:val="TextBody"/>
        <w:bidi w:val="0"/>
        <w:spacing w:before="0" w:after="240"/>
        <w:jc w:val="both"/>
        <w:rPr/>
      </w:pPr>
      <w:r>
        <w:rPr>
          <w:color w:val="000000"/>
        </w:rPr>
        <w:t>“</w:t>
      </w:r>
      <w:r>
        <w:rPr>
          <w:rFonts w:ascii="Times New Roman" w:hAnsi="Times New Roman"/>
          <w:i/>
          <w:color w:val="000000"/>
          <w:sz w:val="24"/>
        </w:rPr>
        <w:t>Board of Directors</w:t>
      </w:r>
      <w:r>
        <w:rPr>
          <w:rFonts w:ascii="Times New Roman" w:hAnsi="Times New Roman"/>
          <w:color w:val="000000"/>
          <w:sz w:val="20"/>
        </w:rPr>
        <w:t xml:space="preserve">” </w:t>
      </w:r>
      <w:r>
        <w:rPr>
          <w:rFonts w:ascii="Times New Roman" w:hAnsi="Times New Roman"/>
          <w:color w:val="000000"/>
          <w:sz w:val="24"/>
        </w:rPr>
        <w:t>means the board of directors of the Company or any duly authorized committee thereof.</w:t>
      </w:r>
    </w:p>
    <w:p>
      <w:pPr>
        <w:pStyle w:val="TextBody"/>
        <w:bidi w:val="0"/>
        <w:spacing w:before="0" w:after="240"/>
        <w:jc w:val="both"/>
        <w:rPr/>
      </w:pPr>
      <w:r>
        <w:rPr>
          <w:color w:val="000000"/>
        </w:rPr>
        <w:t>“</w:t>
      </w:r>
      <w:r>
        <w:rPr>
          <w:rFonts w:ascii="Times New Roman" w:hAnsi="Times New Roman"/>
          <w:i/>
          <w:color w:val="000000"/>
          <w:sz w:val="24"/>
        </w:rPr>
        <w:t>Board Resolution</w:t>
      </w:r>
      <w:r>
        <w:rPr>
          <w:rFonts w:ascii="Times New Roman" w:hAnsi="Times New Roman"/>
          <w:color w:val="000000"/>
          <w:sz w:val="20"/>
        </w:rPr>
        <w:t xml:space="preserve">” </w:t>
      </w:r>
      <w:r>
        <w:rPr>
          <w:rFonts w:ascii="Times New Roman" w:hAnsi="Times New Roman"/>
          <w:color w:val="000000"/>
          <w:sz w:val="24"/>
        </w:rPr>
        <w:t>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pStyle w:val="TextBody"/>
        <w:bidi w:val="0"/>
        <w:spacing w:before="0" w:after="240"/>
        <w:jc w:val="both"/>
        <w:rPr/>
      </w:pPr>
      <w:r>
        <w:rPr>
          <w:color w:val="000000"/>
        </w:rPr>
        <w:t>“</w:t>
      </w:r>
      <w:r>
        <w:rPr>
          <w:rFonts w:ascii="Times New Roman" w:hAnsi="Times New Roman"/>
          <w:i/>
          <w:color w:val="000000"/>
          <w:sz w:val="24"/>
        </w:rPr>
        <w:t>Business Day</w:t>
      </w:r>
      <w:r>
        <w:rPr>
          <w:rFonts w:ascii="Times New Roman" w:hAnsi="Times New Roman"/>
          <w:color w:val="000000"/>
          <w:sz w:val="20"/>
        </w:rPr>
        <w:t xml:space="preserve">” </w:t>
      </w:r>
      <w:r>
        <w:rPr>
          <w:rFonts w:ascii="Times New Roman" w:hAnsi="Times New Roman"/>
          <w:color w:val="000000"/>
          <w:sz w:val="24"/>
        </w:rPr>
        <w:t>means, unless otherwise provided by Board Resolution, Officer’s Certificate, or supplemental indenture hereto for a particular Series, any day except a Saturday, Sunday or a legal holiday in the City of New York, New York (or in connection with any payment, the place of payment) on which banking institutions are authorized or required by law, regulation or executive order to close.</w:t>
      </w:r>
    </w:p>
    <w:p>
      <w:pPr>
        <w:pStyle w:val="TextBody"/>
        <w:bidi w:val="0"/>
        <w:spacing w:before="0" w:after="240"/>
        <w:jc w:val="both"/>
        <w:rPr/>
      </w:pPr>
      <w:r>
        <w:rPr>
          <w:color w:val="000000"/>
        </w:rPr>
        <w:t>“</w:t>
      </w:r>
      <w:r>
        <w:rPr>
          <w:rFonts w:ascii="Times New Roman" w:hAnsi="Times New Roman"/>
          <w:i/>
          <w:color w:val="000000"/>
          <w:sz w:val="24"/>
        </w:rPr>
        <w:t>Capital Stock</w:t>
      </w:r>
      <w:r>
        <w:rPr>
          <w:rFonts w:ascii="Times New Roman" w:hAnsi="Times New Roman"/>
          <w:color w:val="000000"/>
          <w:sz w:val="20"/>
        </w:rPr>
        <w:t xml:space="preserve">” </w:t>
      </w:r>
      <w:r>
        <w:rPr>
          <w:rFonts w:ascii="Times New Roman" w:hAnsi="Times New Roman"/>
          <w:color w:val="000000"/>
          <w:sz w:val="24"/>
        </w:rPr>
        <w:t>means any and all shares, interests, participations, rights or other equivalents (however designated) of corporate stock.</w:t>
      </w:r>
    </w:p>
    <w:p>
      <w:pPr>
        <w:pStyle w:val="TextBody"/>
        <w:bidi w:val="0"/>
        <w:spacing w:before="0" w:after="240"/>
        <w:jc w:val="both"/>
        <w:rPr/>
      </w:pPr>
      <w:r>
        <w:rPr>
          <w:color w:val="000000"/>
        </w:rPr>
        <w:t>“</w:t>
      </w:r>
      <w:r>
        <w:rPr>
          <w:rFonts w:ascii="Times New Roman" w:hAnsi="Times New Roman"/>
          <w:i/>
          <w:color w:val="000000"/>
          <w:sz w:val="24"/>
        </w:rPr>
        <w:t>Company</w:t>
      </w:r>
      <w:r>
        <w:rPr>
          <w:rFonts w:ascii="Times New Roman" w:hAnsi="Times New Roman"/>
          <w:color w:val="000000"/>
          <w:sz w:val="20"/>
        </w:rPr>
        <w:t xml:space="preserve">” </w:t>
      </w:r>
      <w:r>
        <w:rPr>
          <w:rFonts w:ascii="Times New Roman" w:hAnsi="Times New Roman"/>
          <w:color w:val="000000"/>
          <w:sz w:val="24"/>
        </w:rPr>
        <w:t>means the party named as such above until a successor replaces it and thereafter means the successor.</w:t>
      </w:r>
    </w:p>
    <w:p>
      <w:pPr>
        <w:pStyle w:val="TextBody"/>
        <w:bidi w:val="0"/>
        <w:spacing w:before="0" w:after="240"/>
        <w:jc w:val="both"/>
        <w:rPr/>
      </w:pPr>
      <w:r>
        <w:rPr>
          <w:color w:val="000000"/>
        </w:rPr>
        <w:t>“</w:t>
      </w:r>
      <w:r>
        <w:rPr>
          <w:rFonts w:ascii="Times New Roman" w:hAnsi="Times New Roman"/>
          <w:i/>
          <w:color w:val="000000"/>
          <w:sz w:val="24"/>
        </w:rPr>
        <w:t>Company Order</w:t>
      </w:r>
      <w:r>
        <w:rPr>
          <w:rFonts w:ascii="Times New Roman" w:hAnsi="Times New Roman"/>
          <w:color w:val="000000"/>
          <w:sz w:val="20"/>
        </w:rPr>
        <w:t xml:space="preserve">” </w:t>
      </w:r>
      <w:r>
        <w:rPr>
          <w:rFonts w:ascii="Times New Roman" w:hAnsi="Times New Roman"/>
          <w:color w:val="000000"/>
          <w:sz w:val="24"/>
        </w:rPr>
        <w:t>means a written order signed in the name of the Company by an Officer and delivered to the Trustee.</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spacing w:before="0" w:after="240"/>
        <w:jc w:val="both"/>
        <w:rPr/>
      </w:pPr>
      <w:r>
        <w:rPr>
          <w:color w:val="000000"/>
        </w:rPr>
        <w:t>“</w:t>
      </w:r>
      <w:r>
        <w:rPr>
          <w:rFonts w:ascii="Times New Roman" w:hAnsi="Times New Roman"/>
          <w:i/>
          <w:color w:val="000000"/>
          <w:sz w:val="24"/>
        </w:rPr>
        <w:t>Corporate Trust Office</w:t>
      </w:r>
      <w:r>
        <w:rPr>
          <w:rFonts w:ascii="Times New Roman" w:hAnsi="Times New Roman"/>
          <w:color w:val="000000"/>
          <w:sz w:val="20"/>
        </w:rPr>
        <w:t xml:space="preserve">” </w:t>
      </w:r>
      <w:r>
        <w:rPr>
          <w:rFonts w:ascii="Times New Roman" w:hAnsi="Times New Roman"/>
          <w:color w:val="000000"/>
          <w:sz w:val="24"/>
        </w:rPr>
        <w:t>means the office of the Trustee at which at any particular time its corporate trust business related to this Indenture shall be principally administered.</w:t>
      </w:r>
    </w:p>
    <w:p>
      <w:pPr>
        <w:pStyle w:val="TextBody"/>
        <w:bidi w:val="0"/>
        <w:spacing w:before="0" w:after="240"/>
        <w:jc w:val="both"/>
        <w:rPr/>
      </w:pPr>
      <w:r>
        <w:rPr>
          <w:color w:val="000000"/>
        </w:rPr>
        <w:t>“</w:t>
      </w:r>
      <w:r>
        <w:rPr>
          <w:rFonts w:ascii="Times New Roman" w:hAnsi="Times New Roman"/>
          <w:i/>
          <w:color w:val="000000"/>
          <w:sz w:val="24"/>
        </w:rPr>
        <w:t>Default</w:t>
      </w:r>
      <w:r>
        <w:rPr>
          <w:rFonts w:ascii="Times New Roman" w:hAnsi="Times New Roman"/>
          <w:color w:val="000000"/>
          <w:sz w:val="20"/>
        </w:rPr>
        <w:t xml:space="preserve">” </w:t>
      </w:r>
      <w:r>
        <w:rPr>
          <w:rFonts w:ascii="Times New Roman" w:hAnsi="Times New Roman"/>
          <w:color w:val="000000"/>
          <w:sz w:val="24"/>
        </w:rPr>
        <w:t>means any event which is, or after notice, passage of time or both would be, an Event of Default.</w:t>
      </w:r>
    </w:p>
    <w:p>
      <w:pPr>
        <w:pStyle w:val="TextBody"/>
        <w:bidi w:val="0"/>
        <w:spacing w:before="0" w:after="240"/>
        <w:jc w:val="both"/>
        <w:rPr/>
      </w:pPr>
      <w:r>
        <w:rPr>
          <w:color w:val="000000"/>
        </w:rPr>
        <w:t>“</w:t>
      </w:r>
      <w:r>
        <w:rPr>
          <w:rFonts w:ascii="Times New Roman" w:hAnsi="Times New Roman"/>
          <w:i/>
          <w:color w:val="000000"/>
          <w:sz w:val="24"/>
        </w:rPr>
        <w:t>Depositary</w:t>
      </w:r>
      <w:r>
        <w:rPr>
          <w:rFonts w:ascii="Times New Roman" w:hAnsi="Times New Roman"/>
          <w:color w:val="000000"/>
          <w:sz w:val="20"/>
        </w:rPr>
        <w:t xml:space="preserve">” </w:t>
      </w:r>
      <w:r>
        <w:rPr>
          <w:rFonts w:ascii="Times New Roman" w:hAnsi="Times New Roman"/>
          <w:color w:val="000000"/>
          <w:sz w:val="24"/>
        </w:rPr>
        <w:t>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pStyle w:val="TextBody"/>
        <w:bidi w:val="0"/>
        <w:spacing w:before="0" w:after="240"/>
        <w:jc w:val="both"/>
        <w:rPr/>
      </w:pPr>
      <w:r>
        <w:rPr>
          <w:color w:val="000000"/>
        </w:rPr>
        <w:t>“</w:t>
      </w:r>
      <w:r>
        <w:rPr>
          <w:rFonts w:ascii="Times New Roman" w:hAnsi="Times New Roman"/>
          <w:i/>
          <w:color w:val="000000"/>
          <w:sz w:val="24"/>
        </w:rPr>
        <w:t>Discount Security</w:t>
      </w:r>
      <w:r>
        <w:rPr>
          <w:rFonts w:ascii="Times New Roman" w:hAnsi="Times New Roman"/>
          <w:color w:val="000000"/>
          <w:sz w:val="20"/>
        </w:rPr>
        <w:t xml:space="preserve">” </w:t>
      </w:r>
      <w:r>
        <w:rPr>
          <w:rFonts w:ascii="Times New Roman" w:hAnsi="Times New Roman"/>
          <w:color w:val="000000"/>
          <w:sz w:val="24"/>
        </w:rPr>
        <w:t>means any Security that provides for an amount less than the stated principal amount thereof to be due and payable upon declaration of acceleration of the maturity thereof pursuant to Section 6.2.</w:t>
      </w:r>
    </w:p>
    <w:p>
      <w:pPr>
        <w:pStyle w:val="TextBody"/>
        <w:bidi w:val="0"/>
        <w:spacing w:before="0" w:after="240"/>
        <w:jc w:val="both"/>
        <w:rPr/>
      </w:pPr>
      <w:r>
        <w:rPr>
          <w:color w:val="000000"/>
        </w:rPr>
        <w:t>“</w:t>
      </w:r>
      <w:r>
        <w:rPr>
          <w:rFonts w:ascii="Times New Roman" w:hAnsi="Times New Roman"/>
          <w:i/>
          <w:color w:val="000000"/>
          <w:sz w:val="24"/>
        </w:rPr>
        <w:t>Dollars</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i/>
          <w:color w:val="000000"/>
          <w:sz w:val="24"/>
        </w:rPr>
        <w:t>$</w:t>
      </w:r>
      <w:r>
        <w:rPr>
          <w:rFonts w:ascii="Times New Roman" w:hAnsi="Times New Roman"/>
          <w:color w:val="000000"/>
          <w:sz w:val="20"/>
        </w:rPr>
        <w:t xml:space="preserve">” </w:t>
      </w:r>
      <w:r>
        <w:rPr>
          <w:rFonts w:ascii="Times New Roman" w:hAnsi="Times New Roman"/>
          <w:color w:val="000000"/>
          <w:sz w:val="24"/>
        </w:rPr>
        <w:t>means the currency of the United States of America.</w:t>
      </w:r>
    </w:p>
    <w:p>
      <w:pPr>
        <w:pStyle w:val="TextBody"/>
        <w:bidi w:val="0"/>
        <w:spacing w:before="0" w:after="240"/>
        <w:jc w:val="both"/>
        <w:rPr/>
      </w:pPr>
      <w:r>
        <w:rPr>
          <w:color w:val="000000"/>
        </w:rPr>
        <w:t>“</w:t>
      </w:r>
      <w:r>
        <w:rPr>
          <w:rFonts w:ascii="Times New Roman" w:hAnsi="Times New Roman"/>
          <w:i/>
          <w:color w:val="000000"/>
          <w:sz w:val="24"/>
        </w:rPr>
        <w:t>Exchange Act</w:t>
      </w:r>
      <w:r>
        <w:rPr>
          <w:rFonts w:ascii="Times New Roman" w:hAnsi="Times New Roman"/>
          <w:color w:val="000000"/>
          <w:sz w:val="20"/>
        </w:rPr>
        <w:t xml:space="preserve">” </w:t>
      </w:r>
      <w:r>
        <w:rPr>
          <w:rFonts w:ascii="Times New Roman" w:hAnsi="Times New Roman"/>
          <w:color w:val="000000"/>
          <w:sz w:val="24"/>
        </w:rPr>
        <w:t>means the Securities Exchange Act of 1934, as amended.</w:t>
      </w:r>
    </w:p>
    <w:p>
      <w:pPr>
        <w:pStyle w:val="TextBody"/>
        <w:bidi w:val="0"/>
        <w:spacing w:before="0" w:after="240"/>
        <w:jc w:val="both"/>
        <w:rPr/>
      </w:pPr>
      <w:r>
        <w:rPr>
          <w:color w:val="000000"/>
        </w:rPr>
        <w:t>“</w:t>
      </w:r>
      <w:r>
        <w:rPr>
          <w:rFonts w:ascii="Times New Roman" w:hAnsi="Times New Roman"/>
          <w:i/>
          <w:color w:val="000000"/>
          <w:sz w:val="24"/>
        </w:rPr>
        <w:t>Foreign Currency</w:t>
      </w:r>
      <w:r>
        <w:rPr>
          <w:rFonts w:ascii="Times New Roman" w:hAnsi="Times New Roman"/>
          <w:color w:val="000000"/>
          <w:sz w:val="20"/>
        </w:rPr>
        <w:t xml:space="preserve">” </w:t>
      </w:r>
      <w:r>
        <w:rPr>
          <w:rFonts w:ascii="Times New Roman" w:hAnsi="Times New Roman"/>
          <w:color w:val="000000"/>
          <w:sz w:val="24"/>
        </w:rPr>
        <w:t>means any currency or currency unit issued by a government other than the government of the United States of America.</w:t>
      </w:r>
    </w:p>
    <w:p>
      <w:pPr>
        <w:pStyle w:val="TextBody"/>
        <w:bidi w:val="0"/>
        <w:spacing w:before="0" w:after="240"/>
        <w:jc w:val="both"/>
        <w:rPr/>
      </w:pPr>
      <w:r>
        <w:rPr>
          <w:color w:val="000000"/>
        </w:rPr>
        <w:t>“</w:t>
      </w:r>
      <w:r>
        <w:rPr>
          <w:rFonts w:ascii="Times New Roman" w:hAnsi="Times New Roman"/>
          <w:i/>
          <w:color w:val="000000"/>
          <w:sz w:val="24"/>
        </w:rPr>
        <w:t>Foreign Government Obligations</w:t>
      </w:r>
      <w:r>
        <w:rPr>
          <w:rFonts w:ascii="Times New Roman" w:hAnsi="Times New Roman"/>
          <w:color w:val="000000"/>
          <w:sz w:val="20"/>
        </w:rPr>
        <w:t xml:space="preserve">” </w:t>
      </w:r>
      <w:r>
        <w:rPr>
          <w:rFonts w:ascii="Times New Roman" w:hAnsi="Times New Roman"/>
          <w:color w:val="000000"/>
          <w:sz w:val="24"/>
        </w:rPr>
        <w:t>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w:t>
      </w:r>
    </w:p>
    <w:p>
      <w:pPr>
        <w:pStyle w:val="TextBody"/>
        <w:bidi w:val="0"/>
        <w:spacing w:before="0" w:after="240"/>
        <w:jc w:val="both"/>
        <w:rPr/>
      </w:pPr>
      <w:r>
        <w:rPr>
          <w:color w:val="000000"/>
        </w:rPr>
        <w:t>“</w:t>
      </w:r>
      <w:r>
        <w:rPr>
          <w:rFonts w:ascii="Times New Roman" w:hAnsi="Times New Roman"/>
          <w:i/>
          <w:color w:val="000000"/>
          <w:sz w:val="24"/>
        </w:rPr>
        <w:t>GAAP”</w:t>
      </w:r>
      <w:r>
        <w:rPr>
          <w:rFonts w:ascii="Times New Roman" w:hAnsi="Times New Roman"/>
          <w:color w:val="000000"/>
          <w:sz w:val="20"/>
        </w:rPr>
        <w:t xml:space="preserve"> </w:t>
      </w:r>
      <w:r>
        <w:rPr>
          <w:rFonts w:ascii="Times New Roman" w:hAnsi="Times New Roman"/>
          <w:color w:val="000000"/>
          <w:sz w:val="24"/>
        </w:rPr>
        <w:t>means generally accepted accounting principles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w:t>
      </w:r>
    </w:p>
    <w:p>
      <w:pPr>
        <w:pStyle w:val="TextBody"/>
        <w:bidi w:val="0"/>
        <w:spacing w:before="0" w:after="240"/>
        <w:jc w:val="both"/>
        <w:rPr/>
      </w:pPr>
      <w:r>
        <w:rPr>
          <w:color w:val="000000"/>
        </w:rPr>
        <w:t>“</w:t>
      </w:r>
      <w:r>
        <w:rPr>
          <w:rFonts w:ascii="Times New Roman" w:hAnsi="Times New Roman"/>
          <w:i/>
          <w:color w:val="000000"/>
          <w:sz w:val="24"/>
        </w:rPr>
        <w:t>Global Security</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i/>
          <w:color w:val="000000"/>
          <w:sz w:val="24"/>
        </w:rPr>
        <w:t>Global Securities</w:t>
      </w:r>
      <w:r>
        <w:rPr>
          <w:rFonts w:ascii="Times New Roman" w:hAnsi="Times New Roman"/>
          <w:color w:val="000000"/>
          <w:sz w:val="20"/>
        </w:rPr>
        <w:t xml:space="preserve">” </w:t>
      </w:r>
      <w:r>
        <w:rPr>
          <w:rFonts w:ascii="Times New Roman" w:hAnsi="Times New Roman"/>
          <w:color w:val="000000"/>
          <w:sz w:val="24"/>
        </w:rPr>
        <w:t>means a Security or Securities, as the case may be, in the form established pursuant to Section 2.2 evidencing all or part of a Series of Securities, issued to the Depositary for such Series or its nominee, and registered in the name of such Depositary or nominee.</w:t>
      </w:r>
    </w:p>
    <w:p>
      <w:pPr>
        <w:pStyle w:val="TextBody"/>
        <w:bidi w:val="0"/>
        <w:spacing w:before="0" w:after="240"/>
        <w:jc w:val="both"/>
        <w:rPr/>
      </w:pPr>
      <w:r>
        <w:rPr>
          <w:color w:val="000000"/>
        </w:rPr>
        <w:t>“</w:t>
      </w:r>
      <w:r>
        <w:rPr>
          <w:rFonts w:ascii="Times New Roman" w:hAnsi="Times New Roman"/>
          <w:i/>
          <w:color w:val="000000"/>
          <w:sz w:val="24"/>
        </w:rPr>
        <w:t>Holder</w:t>
      </w:r>
      <w:r>
        <w:rPr>
          <w:rFonts w:ascii="Times New Roman" w:hAnsi="Times New Roman"/>
          <w:color w:val="000000"/>
          <w:sz w:val="20"/>
        </w:rPr>
        <w:t xml:space="preserve">” </w:t>
      </w:r>
      <w:r>
        <w:rPr>
          <w:rFonts w:ascii="Times New Roman" w:hAnsi="Times New Roman"/>
          <w:color w:val="000000"/>
          <w:sz w:val="24"/>
        </w:rPr>
        <w:t>means a person in whose name a Security is registered on the Registrar’s books.</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spacing w:before="0" w:after="240"/>
        <w:jc w:val="both"/>
        <w:rPr/>
      </w:pPr>
      <w:r>
        <w:rPr>
          <w:color w:val="000000"/>
        </w:rPr>
        <w:t>“</w:t>
      </w:r>
      <w:r>
        <w:rPr>
          <w:rFonts w:ascii="Times New Roman" w:hAnsi="Times New Roman"/>
          <w:i/>
          <w:color w:val="000000"/>
          <w:sz w:val="24"/>
        </w:rPr>
        <w:t>Indenture</w:t>
      </w:r>
      <w:r>
        <w:rPr>
          <w:rFonts w:ascii="Times New Roman" w:hAnsi="Times New Roman"/>
          <w:color w:val="000000"/>
          <w:sz w:val="20"/>
        </w:rPr>
        <w:t xml:space="preserve">” </w:t>
      </w:r>
      <w:r>
        <w:rPr>
          <w:rFonts w:ascii="Times New Roman" w:hAnsi="Times New Roman"/>
          <w:color w:val="000000"/>
          <w:sz w:val="24"/>
        </w:rPr>
        <w:t>means this Indenture as amended or supplemented from time to time and shall include the form and terms of particular Series of Securities established as contemplated hereunder.</w:t>
      </w:r>
    </w:p>
    <w:p>
      <w:pPr>
        <w:pStyle w:val="TextBody"/>
        <w:bidi w:val="0"/>
        <w:spacing w:before="0" w:after="240"/>
        <w:jc w:val="both"/>
        <w:rPr/>
      </w:pPr>
      <w:r>
        <w:rPr>
          <w:color w:val="000000"/>
        </w:rPr>
        <w:t>“</w:t>
      </w:r>
      <w:r>
        <w:rPr>
          <w:rFonts w:ascii="Times New Roman" w:hAnsi="Times New Roman"/>
          <w:i/>
          <w:color w:val="000000"/>
          <w:sz w:val="24"/>
        </w:rPr>
        <w:t>interest</w:t>
      </w:r>
      <w:r>
        <w:rPr>
          <w:rFonts w:ascii="Times New Roman" w:hAnsi="Times New Roman"/>
          <w:color w:val="000000"/>
          <w:sz w:val="20"/>
        </w:rPr>
        <w:t xml:space="preserve">” </w:t>
      </w:r>
      <w:r>
        <w:rPr>
          <w:rFonts w:ascii="Times New Roman" w:hAnsi="Times New Roman"/>
          <w:color w:val="000000"/>
          <w:sz w:val="24"/>
        </w:rPr>
        <w:t>with respect to any Discount Security which by its terms bears interest only after Maturity, means interest payable after Maturity.</w:t>
      </w:r>
    </w:p>
    <w:p>
      <w:pPr>
        <w:pStyle w:val="TextBody"/>
        <w:bidi w:val="0"/>
        <w:spacing w:before="0" w:after="240"/>
        <w:jc w:val="both"/>
        <w:rPr/>
      </w:pPr>
      <w:r>
        <w:rPr>
          <w:color w:val="000000"/>
        </w:rPr>
        <w:t>“</w:t>
      </w:r>
      <w:r>
        <w:rPr>
          <w:rFonts w:ascii="Times New Roman" w:hAnsi="Times New Roman"/>
          <w:i/>
          <w:color w:val="000000"/>
          <w:sz w:val="24"/>
        </w:rPr>
        <w:t>Maturity</w:t>
      </w:r>
      <w:r>
        <w:rPr>
          <w:rFonts w:ascii="Times New Roman" w:hAnsi="Times New Roman"/>
          <w:color w:val="000000"/>
          <w:sz w:val="20"/>
        </w:rPr>
        <w:t xml:space="preserve">” </w:t>
      </w:r>
      <w:r>
        <w:rPr>
          <w:rFonts w:ascii="Times New Roman" w:hAnsi="Times New Roman"/>
          <w:color w:val="000000"/>
          <w:sz w:val="24"/>
        </w:rPr>
        <w:t>when used with respect to any Security, means the date on which the principal of such Security becomes due and payable as therein or herein provided, whether at the Stated Maturity or by declaration of acceleration, call for redemption or otherwise.</w:t>
      </w:r>
    </w:p>
    <w:p>
      <w:pPr>
        <w:pStyle w:val="TextBody"/>
        <w:bidi w:val="0"/>
        <w:spacing w:before="0" w:after="240"/>
        <w:jc w:val="both"/>
        <w:rPr/>
      </w:pPr>
      <w:r>
        <w:rPr>
          <w:color w:val="000000"/>
        </w:rPr>
        <w:t>“</w:t>
      </w:r>
      <w:r>
        <w:rPr>
          <w:rFonts w:ascii="Times New Roman" w:hAnsi="Times New Roman"/>
          <w:i/>
          <w:color w:val="000000"/>
          <w:sz w:val="24"/>
        </w:rPr>
        <w:t>Officer</w:t>
      </w:r>
      <w:r>
        <w:rPr>
          <w:rFonts w:ascii="Times New Roman" w:hAnsi="Times New Roman"/>
          <w:color w:val="000000"/>
          <w:sz w:val="20"/>
        </w:rPr>
        <w:t xml:space="preserve">” </w:t>
      </w:r>
      <w:r>
        <w:rPr>
          <w:rFonts w:ascii="Times New Roman" w:hAnsi="Times New Roman"/>
          <w:color w:val="000000"/>
          <w:sz w:val="24"/>
        </w:rPr>
        <w:t>means the Chief Executive Officer, President, the Chief Financial Officer, the Treasurer or any Assistant Treasurer, the Secretary or any Assistant Secretary and any Vice President of the Company.</w:t>
      </w:r>
    </w:p>
    <w:p>
      <w:pPr>
        <w:pStyle w:val="TextBody"/>
        <w:bidi w:val="0"/>
        <w:spacing w:before="0" w:after="240"/>
        <w:jc w:val="both"/>
        <w:rPr/>
      </w:pPr>
      <w:r>
        <w:rPr>
          <w:color w:val="000000"/>
        </w:rPr>
        <w:t>“</w:t>
      </w:r>
      <w:r>
        <w:rPr>
          <w:rFonts w:ascii="Times New Roman" w:hAnsi="Times New Roman"/>
          <w:i/>
          <w:color w:val="000000"/>
          <w:sz w:val="24"/>
        </w:rPr>
        <w:t>Officer’s Certificate</w:t>
      </w:r>
      <w:r>
        <w:rPr>
          <w:rFonts w:ascii="Times New Roman" w:hAnsi="Times New Roman"/>
          <w:color w:val="000000"/>
          <w:sz w:val="20"/>
        </w:rPr>
        <w:t xml:space="preserve">” </w:t>
      </w:r>
      <w:r>
        <w:rPr>
          <w:rFonts w:ascii="Times New Roman" w:hAnsi="Times New Roman"/>
          <w:color w:val="000000"/>
          <w:sz w:val="24"/>
        </w:rPr>
        <w:t>means a certificate signed by any one Officer.</w:t>
      </w:r>
    </w:p>
    <w:p>
      <w:pPr>
        <w:pStyle w:val="TextBody"/>
        <w:bidi w:val="0"/>
        <w:spacing w:before="0" w:after="240"/>
        <w:jc w:val="both"/>
        <w:rPr/>
      </w:pPr>
      <w:r>
        <w:rPr>
          <w:color w:val="000000"/>
        </w:rPr>
        <w:t>“</w:t>
      </w:r>
      <w:r>
        <w:rPr>
          <w:rFonts w:ascii="Times New Roman" w:hAnsi="Times New Roman"/>
          <w:i/>
          <w:color w:val="000000"/>
          <w:sz w:val="24"/>
        </w:rPr>
        <w:t>Opinion of Counsel</w:t>
      </w:r>
      <w:r>
        <w:rPr>
          <w:rFonts w:ascii="Times New Roman" w:hAnsi="Times New Roman"/>
          <w:color w:val="000000"/>
          <w:sz w:val="20"/>
        </w:rPr>
        <w:t xml:space="preserve">” </w:t>
      </w:r>
      <w:r>
        <w:rPr>
          <w:rFonts w:ascii="Times New Roman" w:hAnsi="Times New Roman"/>
          <w:color w:val="000000"/>
          <w:sz w:val="24"/>
        </w:rPr>
        <w:t>means a written opinion of legal counsel who is acceptable to the Trustee. The counsel may be an employee of or counsel to the Company. The opinion may contain customary limitations, conditions and exceptions.</w:t>
      </w:r>
    </w:p>
    <w:p>
      <w:pPr>
        <w:pStyle w:val="TextBody"/>
        <w:bidi w:val="0"/>
        <w:spacing w:before="0" w:after="240"/>
        <w:jc w:val="both"/>
        <w:rPr/>
      </w:pPr>
      <w:r>
        <w:rPr>
          <w:color w:val="000000"/>
        </w:rPr>
        <w:t>“</w:t>
      </w:r>
      <w:r>
        <w:rPr>
          <w:rFonts w:ascii="Times New Roman" w:hAnsi="Times New Roman"/>
          <w:i/>
          <w:color w:val="000000"/>
          <w:sz w:val="24"/>
        </w:rPr>
        <w:t>person</w:t>
      </w:r>
      <w:r>
        <w:rPr>
          <w:rFonts w:ascii="Times New Roman" w:hAnsi="Times New Roman"/>
          <w:color w:val="000000"/>
          <w:sz w:val="20"/>
        </w:rPr>
        <w:t xml:space="preserve">” </w:t>
      </w:r>
      <w:r>
        <w:rPr>
          <w:rFonts w:ascii="Times New Roman" w:hAnsi="Times New Roman"/>
          <w:color w:val="000000"/>
          <w:sz w:val="24"/>
        </w:rPr>
        <w:t>means any individual, corporation, partnership, joint venture, association, limited liability company, joint-stock company, trust, unincorporated organization or government or any agency or political subdivision thereof.</w:t>
      </w:r>
    </w:p>
    <w:p>
      <w:pPr>
        <w:pStyle w:val="TextBody"/>
        <w:bidi w:val="0"/>
        <w:spacing w:before="0" w:after="240"/>
        <w:jc w:val="both"/>
        <w:rPr/>
      </w:pPr>
      <w:r>
        <w:rPr>
          <w:color w:val="000000"/>
        </w:rPr>
        <w:t>“</w:t>
      </w:r>
      <w:r>
        <w:rPr>
          <w:rFonts w:ascii="Times New Roman" w:hAnsi="Times New Roman"/>
          <w:i/>
          <w:color w:val="000000"/>
          <w:sz w:val="24"/>
        </w:rPr>
        <w:t>principal</w:t>
      </w:r>
      <w:r>
        <w:rPr>
          <w:rFonts w:ascii="Times New Roman" w:hAnsi="Times New Roman"/>
          <w:color w:val="000000"/>
          <w:sz w:val="20"/>
        </w:rPr>
        <w:t xml:space="preserve">” </w:t>
      </w:r>
      <w:r>
        <w:rPr>
          <w:rFonts w:ascii="Times New Roman" w:hAnsi="Times New Roman"/>
          <w:color w:val="000000"/>
          <w:sz w:val="24"/>
        </w:rPr>
        <w:t>of a Security means the principal of the Security plus, when appropriate, the premium, if any, on, and any Additional Amounts in respect of, the Security.</w:t>
      </w:r>
    </w:p>
    <w:p>
      <w:pPr>
        <w:pStyle w:val="TextBody"/>
        <w:bidi w:val="0"/>
        <w:spacing w:before="0" w:after="240"/>
        <w:jc w:val="both"/>
        <w:rPr/>
      </w:pPr>
      <w:r>
        <w:rPr>
          <w:color w:val="000000"/>
        </w:rPr>
        <w:t>“</w:t>
      </w:r>
      <w:r>
        <w:rPr>
          <w:rFonts w:ascii="Times New Roman" w:hAnsi="Times New Roman"/>
          <w:i/>
          <w:color w:val="000000"/>
          <w:sz w:val="24"/>
        </w:rPr>
        <w:t>Responsible Officer</w:t>
      </w:r>
      <w:r>
        <w:rPr>
          <w:rFonts w:ascii="Times New Roman" w:hAnsi="Times New Roman"/>
          <w:color w:val="000000"/>
          <w:sz w:val="20"/>
        </w:rPr>
        <w:t xml:space="preserve">” </w:t>
      </w:r>
      <w:r>
        <w:rPr>
          <w:rFonts w:ascii="Times New Roman" w:hAnsi="Times New Roman"/>
          <w:color w:val="000000"/>
          <w:sz w:val="24"/>
        </w:rPr>
        <w:t>means any officer of the Trustee in its Corporate Trust Office having responsibility for administration of this Indenture and also means, with respect to a particular corporate trust matter, any other officer to whom any corporate trust matter is referred because of his or her knowledge of and familiarity with a particular subject.</w:t>
      </w:r>
    </w:p>
    <w:p>
      <w:pPr>
        <w:pStyle w:val="TextBody"/>
        <w:bidi w:val="0"/>
        <w:spacing w:before="0" w:after="240"/>
        <w:jc w:val="both"/>
        <w:rPr/>
      </w:pPr>
      <w:r>
        <w:rPr>
          <w:color w:val="000000"/>
        </w:rPr>
        <w:t>“</w:t>
      </w:r>
      <w:r>
        <w:rPr>
          <w:rFonts w:ascii="Times New Roman" w:hAnsi="Times New Roman"/>
          <w:i/>
          <w:color w:val="000000"/>
          <w:sz w:val="24"/>
        </w:rPr>
        <w:t>SEC</w:t>
      </w:r>
      <w:r>
        <w:rPr>
          <w:rFonts w:ascii="Times New Roman" w:hAnsi="Times New Roman"/>
          <w:color w:val="000000"/>
          <w:sz w:val="20"/>
        </w:rPr>
        <w:t xml:space="preserve">” </w:t>
      </w:r>
      <w:r>
        <w:rPr>
          <w:rFonts w:ascii="Times New Roman" w:hAnsi="Times New Roman"/>
          <w:color w:val="000000"/>
          <w:sz w:val="24"/>
        </w:rPr>
        <w:t>means the Securities and Exchange Commission.</w:t>
      </w:r>
    </w:p>
    <w:p>
      <w:pPr>
        <w:pStyle w:val="TextBody"/>
        <w:bidi w:val="0"/>
        <w:spacing w:before="0" w:after="240"/>
        <w:jc w:val="both"/>
        <w:rPr/>
      </w:pPr>
      <w:r>
        <w:rPr>
          <w:color w:val="000000"/>
        </w:rPr>
        <w:t>“</w:t>
      </w:r>
      <w:r>
        <w:rPr>
          <w:rFonts w:ascii="Times New Roman" w:hAnsi="Times New Roman"/>
          <w:i/>
          <w:color w:val="000000"/>
          <w:sz w:val="24"/>
        </w:rPr>
        <w:t>Security</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i/>
          <w:color w:val="000000"/>
          <w:sz w:val="24"/>
        </w:rPr>
        <w:t>Securities</w:t>
      </w:r>
      <w:r>
        <w:rPr>
          <w:rFonts w:ascii="Times New Roman" w:hAnsi="Times New Roman"/>
          <w:color w:val="000000"/>
          <w:sz w:val="20"/>
        </w:rPr>
        <w:t xml:space="preserve">” </w:t>
      </w:r>
      <w:r>
        <w:rPr>
          <w:rFonts w:ascii="Times New Roman" w:hAnsi="Times New Roman"/>
          <w:color w:val="000000"/>
          <w:sz w:val="24"/>
        </w:rPr>
        <w:t>means the debentures, notes or other debt instruments of the Company of any Series authenticated and delivered under this Indenture.</w:t>
      </w:r>
    </w:p>
    <w:p>
      <w:pPr>
        <w:pStyle w:val="TextBody"/>
        <w:bidi w:val="0"/>
        <w:spacing w:before="0" w:after="240"/>
        <w:jc w:val="both"/>
        <w:rPr/>
      </w:pPr>
      <w:r>
        <w:rPr>
          <w:color w:val="000000"/>
        </w:rPr>
        <w:t>“</w:t>
      </w:r>
      <w:r>
        <w:rPr>
          <w:rFonts w:ascii="Times New Roman" w:hAnsi="Times New Roman"/>
          <w:i/>
          <w:color w:val="000000"/>
          <w:sz w:val="24"/>
        </w:rPr>
        <w:t>Series</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i/>
          <w:color w:val="000000"/>
          <w:sz w:val="24"/>
        </w:rPr>
        <w:t>Series of Securities</w:t>
      </w:r>
      <w:r>
        <w:rPr>
          <w:rFonts w:ascii="Times New Roman" w:hAnsi="Times New Roman"/>
          <w:color w:val="000000"/>
          <w:sz w:val="20"/>
        </w:rPr>
        <w:t xml:space="preserve">” </w:t>
      </w:r>
      <w:r>
        <w:rPr>
          <w:rFonts w:ascii="Times New Roman" w:hAnsi="Times New Roman"/>
          <w:color w:val="000000"/>
          <w:sz w:val="24"/>
        </w:rPr>
        <w:t>means each series of debentures, notes or other debt instruments of the Company created pursuant to Sections 2.1 and 2.2 hereof.</w:t>
      </w:r>
    </w:p>
    <w:p>
      <w:pPr>
        <w:pStyle w:val="TextBody"/>
        <w:bidi w:val="0"/>
        <w:spacing w:before="0" w:after="240"/>
        <w:jc w:val="both"/>
        <w:rPr/>
      </w:pPr>
      <w:r>
        <w:rPr>
          <w:color w:val="000000"/>
        </w:rPr>
        <w:t>“</w:t>
      </w:r>
      <w:r>
        <w:rPr>
          <w:rFonts w:ascii="Times New Roman" w:hAnsi="Times New Roman"/>
          <w:i/>
          <w:color w:val="000000"/>
          <w:sz w:val="24"/>
        </w:rPr>
        <w:t>Stated Maturity</w:t>
      </w:r>
      <w:r>
        <w:rPr>
          <w:rFonts w:ascii="Times New Roman" w:hAnsi="Times New Roman"/>
          <w:color w:val="000000"/>
          <w:sz w:val="20"/>
        </w:rPr>
        <w:t xml:space="preserve">” </w:t>
      </w:r>
      <w:r>
        <w:rPr>
          <w:rFonts w:ascii="Times New Roman" w:hAnsi="Times New Roman"/>
          <w:color w:val="000000"/>
          <w:sz w:val="24"/>
        </w:rPr>
        <w:t>when used with respect to any Security, means the date specified in such Security as the fixed date on which the principal of such Security or interest is due and payable.</w:t>
      </w:r>
    </w:p>
    <w:p>
      <w:pPr>
        <w:pStyle w:val="TextBody"/>
        <w:bidi w:val="0"/>
        <w:spacing w:before="0" w:after="240"/>
        <w:jc w:val="both"/>
        <w:rPr/>
      </w:pPr>
      <w:r>
        <w:rPr>
          <w:color w:val="000000"/>
        </w:rPr>
        <w:t>“</w:t>
      </w:r>
      <w:r>
        <w:rPr>
          <w:rFonts w:ascii="Times New Roman" w:hAnsi="Times New Roman"/>
          <w:i/>
          <w:color w:val="000000"/>
          <w:sz w:val="24"/>
        </w:rPr>
        <w:t>Subsidiary</w:t>
      </w:r>
      <w:r>
        <w:rPr>
          <w:rFonts w:ascii="Times New Roman" w:hAnsi="Times New Roman"/>
          <w:color w:val="000000"/>
          <w:sz w:val="20"/>
        </w:rPr>
        <w:t xml:space="preserve">” </w:t>
      </w:r>
      <w:r>
        <w:rPr>
          <w:rFonts w:ascii="Times New Roman" w:hAnsi="Times New Roman"/>
          <w:color w:val="000000"/>
          <w:sz w:val="24"/>
        </w:rPr>
        <w:t>of any specified person means any corporation, association or other business entity of which more than 50% of the total voting power of shares of Capital Stock entitled (without regard to the occurrence of any contingency) to vote in the election of directors, managers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 trustees thereof is at the time owned or controlled, directly or indirectly, by such person or one or more of the other Subsidiaries of that person or a combination thereof.</w:t>
      </w:r>
    </w:p>
    <w:p>
      <w:pPr>
        <w:pStyle w:val="TextBody"/>
        <w:bidi w:val="0"/>
        <w:spacing w:before="0" w:after="240"/>
        <w:jc w:val="both"/>
        <w:rPr/>
      </w:pPr>
      <w:r>
        <w:rPr>
          <w:color w:val="000000"/>
        </w:rPr>
        <w:t>“</w:t>
      </w:r>
      <w:r>
        <w:rPr>
          <w:rFonts w:ascii="Times New Roman" w:hAnsi="Times New Roman"/>
          <w:i/>
          <w:color w:val="000000"/>
          <w:sz w:val="24"/>
        </w:rPr>
        <w:t>TIA</w:t>
      </w:r>
      <w:r>
        <w:rPr>
          <w:rFonts w:ascii="Times New Roman" w:hAnsi="Times New Roman"/>
          <w:color w:val="000000"/>
          <w:sz w:val="20"/>
        </w:rPr>
        <w:t xml:space="preserve">” </w:t>
      </w:r>
      <w:r>
        <w:rPr>
          <w:rFonts w:ascii="Times New Roman" w:hAnsi="Times New Roman"/>
          <w:color w:val="000000"/>
          <w:sz w:val="24"/>
        </w:rPr>
        <w:t>means the Trust Indenture Act of 1939 (15 U.S. Code §§ 77aaa-77bbbb) as in effect on the date of this Indenture; provided, however, that in the event the Trust Indenture Act of 1939 is amended after such date, “TIA” means, to the extent required by any such amendment, the Trust Indenture Act as so amended.</w:t>
      </w:r>
    </w:p>
    <w:p>
      <w:pPr>
        <w:pStyle w:val="TextBody"/>
        <w:bidi w:val="0"/>
        <w:spacing w:before="0" w:after="240"/>
        <w:jc w:val="both"/>
        <w:rPr/>
      </w:pPr>
      <w:r>
        <w:rPr>
          <w:color w:val="000000"/>
        </w:rPr>
        <w:t>“</w:t>
      </w:r>
      <w:r>
        <w:rPr>
          <w:rFonts w:ascii="Times New Roman" w:hAnsi="Times New Roman"/>
          <w:i/>
          <w:color w:val="000000"/>
          <w:sz w:val="24"/>
        </w:rPr>
        <w:t>Trustee</w:t>
      </w:r>
      <w:r>
        <w:rPr>
          <w:rFonts w:ascii="Times New Roman" w:hAnsi="Times New Roman"/>
          <w:color w:val="000000"/>
          <w:sz w:val="20"/>
        </w:rPr>
        <w:t xml:space="preserve">” </w:t>
      </w:r>
      <w:r>
        <w:rPr>
          <w:rFonts w:ascii="Times New Roman" w:hAnsi="Times New Roman"/>
          <w:color w:val="000000"/>
          <w:sz w:val="24"/>
        </w:rPr>
        <w:t>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pStyle w:val="TextBody"/>
        <w:bidi w:val="0"/>
        <w:spacing w:before="0" w:after="240"/>
        <w:jc w:val="both"/>
        <w:rPr/>
      </w:pPr>
      <w:r>
        <w:rPr>
          <w:color w:val="000000"/>
        </w:rPr>
        <w:t>“</w:t>
      </w:r>
      <w:r>
        <w:rPr>
          <w:rFonts w:ascii="Times New Roman" w:hAnsi="Times New Roman"/>
          <w:i/>
          <w:color w:val="000000"/>
          <w:sz w:val="24"/>
        </w:rPr>
        <w:t>U.S. Government Obligations</w:t>
      </w:r>
      <w:r>
        <w:rPr>
          <w:rFonts w:ascii="Times New Roman" w:hAnsi="Times New Roman"/>
          <w:color w:val="000000"/>
          <w:sz w:val="20"/>
        </w:rPr>
        <w:t xml:space="preserve">” </w:t>
      </w:r>
      <w:r>
        <w:rPr>
          <w:rFonts w:ascii="Times New Roman" w:hAnsi="Times New Roman"/>
          <w:color w:val="000000"/>
          <w:sz w:val="24"/>
        </w:rPr>
        <w:t xml:space="preserve">means securities which are direct obligations of, or guaranteed by, the United States of America for the payment of which its full faith and credit is pledged and which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depositary receipt,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(except as required by law) such custodian is not authorized to make any deduction from the amount payable to the holder of such depositary receipt from any amount received by the custodian in respect of the U.S. Government Obligation evidenced by such depositary receipt.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1.2. Other Definitions.</w:t>
      </w:r>
    </w:p>
    <w:p>
      <w:pPr>
        <w:pStyle w:val="TextBody"/>
        <w:bidi w:val="0"/>
        <w:jc w:val="both"/>
        <w:rPr>
          <w:rFonts w:ascii="Times New Roman" w:hAnsi="Times New Roman"/>
          <w:color w:val="000000"/>
          <w:sz w:val="24"/>
        </w:rPr>
      </w:pPr>
      <w:r>
        <w:rPr>
          <w:rFonts w:ascii="Times New Roman" w:hAnsi="Times New Roman"/>
          <w:color w:val="000000"/>
          <w:sz w:val="24"/>
        </w:rPr>
        <w:t>TERM DEFINED IN SECTION</w:t>
      </w:r>
    </w:p>
    <w:p>
      <w:pPr>
        <w:pStyle w:val="TextBody"/>
        <w:bidi w:val="0"/>
        <w:jc w:val="both"/>
        <w:rPr/>
      </w:pPr>
      <w:r>
        <w:rPr/>
        <w:t> </w:t>
      </w:r>
    </w:p>
    <w:tbl>
      <w:tblPr>
        <w:tblW w:w="4202" w:type="dxa"/>
        <w:jc w:val="left"/>
        <w:tblInd w:w="0" w:type="dxa"/>
        <w:tblLayout w:type="fixed"/>
        <w:tblCellMar>
          <w:top w:w="28" w:type="dxa"/>
          <w:left w:w="28" w:type="dxa"/>
          <w:bottom w:w="28" w:type="dxa"/>
          <w:right w:w="28" w:type="dxa"/>
        </w:tblCellMar>
      </w:tblPr>
      <w:tblGrid>
        <w:gridCol w:w="3451"/>
        <w:gridCol w:w="751"/>
      </w:tblGrid>
      <w:tr>
        <w:trPr/>
        <w:tc>
          <w:tcPr>
            <w:tcW w:w="34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3451" w:type="dxa"/>
            <w:tcBorders/>
            <w:tcMar>
              <w:top w:w="0" w:type="dxa"/>
              <w:left w:w="0" w:type="dxa"/>
              <w:bottom w:w="0" w:type="dxa"/>
              <w:right w:w="0" w:type="dxa"/>
            </w:tcMar>
            <w:vAlign w:val="center"/>
          </w:tcPr>
          <w:p>
            <w:pPr>
              <w:pStyle w:val="TableContents"/>
              <w:bidi w:val="0"/>
              <w:spacing w:before="0" w:after="283"/>
              <w:jc w:val="both"/>
              <w:rPr/>
            </w:pPr>
            <w:r>
              <w:rPr>
                <w:color w:val="000000"/>
              </w:rPr>
              <w:t>“</w:t>
            </w:r>
            <w:r>
              <w:rPr>
                <w:rFonts w:ascii="Times New Roman" w:hAnsi="Times New Roman"/>
                <w:i/>
                <w:color w:val="000000"/>
                <w:sz w:val="24"/>
              </w:rPr>
              <w:t>Agent Member</w:t>
            </w:r>
            <w:r>
              <w:rPr>
                <w:rFonts w:ascii="Times New Roman" w:hAnsi="Times New Roman"/>
                <w:color w:val="000000"/>
                <w:sz w:val="24"/>
              </w:rPr>
              <w:t>”</w:t>
            </w:r>
          </w:p>
        </w:tc>
        <w:tc>
          <w:tcPr>
            <w:tcW w:w="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2.14.6</w:t>
            </w:r>
          </w:p>
        </w:tc>
      </w:tr>
      <w:tr>
        <w:trPr/>
        <w:tc>
          <w:tcPr>
            <w:tcW w:w="3451" w:type="dxa"/>
            <w:tcBorders/>
            <w:tcMar>
              <w:top w:w="0" w:type="dxa"/>
              <w:left w:w="0" w:type="dxa"/>
              <w:bottom w:w="0" w:type="dxa"/>
              <w:right w:w="0" w:type="dxa"/>
            </w:tcMar>
            <w:vAlign w:val="center"/>
          </w:tcPr>
          <w:p>
            <w:pPr>
              <w:pStyle w:val="TableContents"/>
              <w:bidi w:val="0"/>
              <w:spacing w:before="0" w:after="283"/>
              <w:jc w:val="both"/>
              <w:rPr/>
            </w:pPr>
            <w:r>
              <w:rPr>
                <w:color w:val="000000"/>
              </w:rPr>
              <w:t>“</w:t>
            </w:r>
            <w:r>
              <w:rPr>
                <w:rFonts w:ascii="Times New Roman" w:hAnsi="Times New Roman"/>
                <w:i/>
                <w:color w:val="000000"/>
                <w:sz w:val="24"/>
              </w:rPr>
              <w:t>Bankruptcy Law</w:t>
            </w:r>
            <w:r>
              <w:rPr>
                <w:rFonts w:ascii="Times New Roman" w:hAnsi="Times New Roman"/>
                <w:color w:val="000000"/>
                <w:sz w:val="24"/>
              </w:rPr>
              <w:t>”</w:t>
            </w:r>
          </w:p>
        </w:tc>
        <w:tc>
          <w:tcPr>
            <w:tcW w:w="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6.1</w:t>
            </w:r>
          </w:p>
        </w:tc>
      </w:tr>
      <w:tr>
        <w:trPr/>
        <w:tc>
          <w:tcPr>
            <w:tcW w:w="3451" w:type="dxa"/>
            <w:tcBorders/>
            <w:tcMar>
              <w:top w:w="0" w:type="dxa"/>
              <w:left w:w="0" w:type="dxa"/>
              <w:bottom w:w="0" w:type="dxa"/>
              <w:right w:w="0" w:type="dxa"/>
            </w:tcMar>
            <w:vAlign w:val="center"/>
          </w:tcPr>
          <w:p>
            <w:pPr>
              <w:pStyle w:val="TableContents"/>
              <w:bidi w:val="0"/>
              <w:spacing w:before="0" w:after="283"/>
              <w:jc w:val="both"/>
              <w:rPr/>
            </w:pPr>
            <w:r>
              <w:rPr>
                <w:color w:val="000000"/>
              </w:rPr>
              <w:t>“</w:t>
            </w:r>
            <w:r>
              <w:rPr>
                <w:rFonts w:ascii="Times New Roman" w:hAnsi="Times New Roman"/>
                <w:i/>
                <w:color w:val="000000"/>
                <w:sz w:val="24"/>
              </w:rPr>
              <w:t>Custodian</w:t>
            </w:r>
            <w:r>
              <w:rPr>
                <w:rFonts w:ascii="Times New Roman" w:hAnsi="Times New Roman"/>
                <w:color w:val="000000"/>
                <w:sz w:val="24"/>
              </w:rPr>
              <w:t>”</w:t>
            </w:r>
          </w:p>
        </w:tc>
        <w:tc>
          <w:tcPr>
            <w:tcW w:w="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6.1</w:t>
            </w:r>
          </w:p>
        </w:tc>
      </w:tr>
      <w:tr>
        <w:trPr/>
        <w:tc>
          <w:tcPr>
            <w:tcW w:w="3451" w:type="dxa"/>
            <w:tcBorders/>
            <w:tcMar>
              <w:top w:w="0" w:type="dxa"/>
              <w:left w:w="0" w:type="dxa"/>
              <w:bottom w:w="0" w:type="dxa"/>
              <w:right w:w="0" w:type="dxa"/>
            </w:tcMar>
            <w:vAlign w:val="center"/>
          </w:tcPr>
          <w:p>
            <w:pPr>
              <w:pStyle w:val="TableContents"/>
              <w:bidi w:val="0"/>
              <w:spacing w:before="0" w:after="283"/>
              <w:jc w:val="both"/>
              <w:rPr/>
            </w:pPr>
            <w:r>
              <w:rPr>
                <w:color w:val="000000"/>
              </w:rPr>
              <w:t>“</w:t>
            </w:r>
            <w:r>
              <w:rPr>
                <w:rFonts w:ascii="Times New Roman" w:hAnsi="Times New Roman"/>
                <w:i/>
                <w:color w:val="000000"/>
                <w:sz w:val="24"/>
              </w:rPr>
              <w:t>Event of Default</w:t>
            </w:r>
            <w:r>
              <w:rPr>
                <w:rFonts w:ascii="Times New Roman" w:hAnsi="Times New Roman"/>
                <w:color w:val="000000"/>
                <w:sz w:val="24"/>
              </w:rPr>
              <w:t>”</w:t>
            </w:r>
          </w:p>
        </w:tc>
        <w:tc>
          <w:tcPr>
            <w:tcW w:w="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6.1</w:t>
            </w:r>
          </w:p>
        </w:tc>
      </w:tr>
      <w:tr>
        <w:trPr/>
        <w:tc>
          <w:tcPr>
            <w:tcW w:w="3451" w:type="dxa"/>
            <w:tcBorders/>
            <w:tcMar>
              <w:top w:w="0" w:type="dxa"/>
              <w:left w:w="0" w:type="dxa"/>
              <w:bottom w:w="0" w:type="dxa"/>
              <w:right w:w="0" w:type="dxa"/>
            </w:tcMar>
            <w:vAlign w:val="center"/>
          </w:tcPr>
          <w:p>
            <w:pPr>
              <w:pStyle w:val="TableContents"/>
              <w:bidi w:val="0"/>
              <w:spacing w:before="0" w:after="283"/>
              <w:jc w:val="both"/>
              <w:rPr/>
            </w:pPr>
            <w:r>
              <w:rPr>
                <w:color w:val="000000"/>
              </w:rPr>
              <w:t>“</w:t>
            </w:r>
            <w:r>
              <w:rPr>
                <w:rFonts w:ascii="Times New Roman" w:hAnsi="Times New Roman"/>
                <w:i/>
                <w:color w:val="000000"/>
                <w:sz w:val="24"/>
              </w:rPr>
              <w:t>Judgment Currency</w:t>
            </w:r>
            <w:r>
              <w:rPr>
                <w:rFonts w:ascii="Times New Roman" w:hAnsi="Times New Roman"/>
                <w:color w:val="000000"/>
                <w:sz w:val="24"/>
              </w:rPr>
              <w:t>”</w:t>
            </w:r>
          </w:p>
        </w:tc>
        <w:tc>
          <w:tcPr>
            <w:tcW w:w="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10.16</w:t>
            </w:r>
          </w:p>
        </w:tc>
      </w:tr>
      <w:tr>
        <w:trPr/>
        <w:tc>
          <w:tcPr>
            <w:tcW w:w="3451" w:type="dxa"/>
            <w:tcBorders/>
            <w:tcMar>
              <w:top w:w="0" w:type="dxa"/>
              <w:left w:w="0" w:type="dxa"/>
              <w:bottom w:w="0" w:type="dxa"/>
              <w:right w:w="0" w:type="dxa"/>
            </w:tcMar>
            <w:vAlign w:val="center"/>
          </w:tcPr>
          <w:p>
            <w:pPr>
              <w:pStyle w:val="TableContents"/>
              <w:bidi w:val="0"/>
              <w:spacing w:before="0" w:after="283"/>
              <w:jc w:val="both"/>
              <w:rPr/>
            </w:pPr>
            <w:r>
              <w:rPr>
                <w:color w:val="000000"/>
              </w:rPr>
              <w:t>“</w:t>
            </w:r>
            <w:r>
              <w:rPr>
                <w:rFonts w:ascii="Times New Roman" w:hAnsi="Times New Roman"/>
                <w:i/>
                <w:color w:val="000000"/>
                <w:sz w:val="24"/>
              </w:rPr>
              <w:t>mandatory sinking fund payment</w:t>
            </w:r>
            <w:r>
              <w:rPr>
                <w:rFonts w:ascii="Times New Roman" w:hAnsi="Times New Roman"/>
                <w:color w:val="000000"/>
                <w:sz w:val="24"/>
              </w:rPr>
              <w:t>”</w:t>
            </w:r>
          </w:p>
        </w:tc>
        <w:tc>
          <w:tcPr>
            <w:tcW w:w="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11.1</w:t>
            </w:r>
          </w:p>
        </w:tc>
      </w:tr>
      <w:tr>
        <w:trPr/>
        <w:tc>
          <w:tcPr>
            <w:tcW w:w="3451" w:type="dxa"/>
            <w:tcBorders/>
            <w:tcMar>
              <w:top w:w="0" w:type="dxa"/>
              <w:left w:w="0" w:type="dxa"/>
              <w:bottom w:w="0" w:type="dxa"/>
              <w:right w:w="0" w:type="dxa"/>
            </w:tcMar>
            <w:vAlign w:val="center"/>
          </w:tcPr>
          <w:p>
            <w:pPr>
              <w:pStyle w:val="TableContents"/>
              <w:bidi w:val="0"/>
              <w:spacing w:before="0" w:after="283"/>
              <w:jc w:val="both"/>
              <w:rPr/>
            </w:pPr>
            <w:r>
              <w:rPr>
                <w:color w:val="000000"/>
              </w:rPr>
              <w:t>“</w:t>
            </w:r>
            <w:r>
              <w:rPr>
                <w:rFonts w:ascii="Times New Roman" w:hAnsi="Times New Roman"/>
                <w:i/>
                <w:color w:val="000000"/>
                <w:sz w:val="24"/>
              </w:rPr>
              <w:t>New York Banking Day</w:t>
            </w:r>
            <w:r>
              <w:rPr>
                <w:rFonts w:ascii="Times New Roman" w:hAnsi="Times New Roman"/>
                <w:color w:val="000000"/>
                <w:sz w:val="24"/>
              </w:rPr>
              <w:t>”</w:t>
            </w:r>
          </w:p>
        </w:tc>
        <w:tc>
          <w:tcPr>
            <w:tcW w:w="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10.16</w:t>
            </w:r>
          </w:p>
        </w:tc>
      </w:tr>
      <w:tr>
        <w:trPr/>
        <w:tc>
          <w:tcPr>
            <w:tcW w:w="3451" w:type="dxa"/>
            <w:tcBorders/>
            <w:tcMar>
              <w:top w:w="0" w:type="dxa"/>
              <w:left w:w="0" w:type="dxa"/>
              <w:bottom w:w="0" w:type="dxa"/>
              <w:right w:w="0" w:type="dxa"/>
            </w:tcMar>
            <w:vAlign w:val="center"/>
          </w:tcPr>
          <w:p>
            <w:pPr>
              <w:pStyle w:val="TableContents"/>
              <w:bidi w:val="0"/>
              <w:spacing w:before="0" w:after="283"/>
              <w:jc w:val="both"/>
              <w:rPr/>
            </w:pPr>
            <w:r>
              <w:rPr>
                <w:color w:val="000000"/>
              </w:rPr>
              <w:t>“</w:t>
            </w:r>
            <w:r>
              <w:rPr>
                <w:rFonts w:ascii="Times New Roman" w:hAnsi="Times New Roman"/>
                <w:i/>
                <w:color w:val="000000"/>
                <w:sz w:val="24"/>
              </w:rPr>
              <w:t>Notice Agent</w:t>
            </w:r>
            <w:r>
              <w:rPr>
                <w:rFonts w:ascii="Times New Roman" w:hAnsi="Times New Roman"/>
                <w:color w:val="000000"/>
                <w:sz w:val="24"/>
              </w:rPr>
              <w:t>”</w:t>
            </w:r>
          </w:p>
        </w:tc>
        <w:tc>
          <w:tcPr>
            <w:tcW w:w="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2.4</w:t>
            </w:r>
          </w:p>
        </w:tc>
      </w:tr>
      <w:tr>
        <w:trPr/>
        <w:tc>
          <w:tcPr>
            <w:tcW w:w="3451" w:type="dxa"/>
            <w:tcBorders/>
            <w:tcMar>
              <w:top w:w="0" w:type="dxa"/>
              <w:left w:w="0" w:type="dxa"/>
              <w:bottom w:w="0" w:type="dxa"/>
              <w:right w:w="0" w:type="dxa"/>
            </w:tcMar>
            <w:vAlign w:val="center"/>
          </w:tcPr>
          <w:p>
            <w:pPr>
              <w:pStyle w:val="TableContents"/>
              <w:bidi w:val="0"/>
              <w:spacing w:before="0" w:after="283"/>
              <w:jc w:val="both"/>
              <w:rPr/>
            </w:pPr>
            <w:r>
              <w:rPr>
                <w:color w:val="000000"/>
              </w:rPr>
              <w:t>“</w:t>
            </w:r>
            <w:r>
              <w:rPr>
                <w:rFonts w:ascii="Times New Roman" w:hAnsi="Times New Roman"/>
                <w:i/>
                <w:color w:val="000000"/>
                <w:sz w:val="24"/>
              </w:rPr>
              <w:t>optional sinking fund payment</w:t>
            </w:r>
            <w:r>
              <w:rPr>
                <w:rFonts w:ascii="Times New Roman" w:hAnsi="Times New Roman"/>
                <w:color w:val="000000"/>
                <w:sz w:val="24"/>
              </w:rPr>
              <w:t>”</w:t>
            </w:r>
          </w:p>
        </w:tc>
        <w:tc>
          <w:tcPr>
            <w:tcW w:w="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11.1</w:t>
            </w:r>
          </w:p>
        </w:tc>
      </w:tr>
      <w:tr>
        <w:trPr/>
        <w:tc>
          <w:tcPr>
            <w:tcW w:w="3451" w:type="dxa"/>
            <w:tcBorders/>
            <w:tcMar>
              <w:top w:w="0" w:type="dxa"/>
              <w:left w:w="0" w:type="dxa"/>
              <w:bottom w:w="0" w:type="dxa"/>
              <w:right w:w="0" w:type="dxa"/>
            </w:tcMar>
            <w:vAlign w:val="center"/>
          </w:tcPr>
          <w:p>
            <w:pPr>
              <w:pStyle w:val="TableContents"/>
              <w:bidi w:val="0"/>
              <w:spacing w:before="0" w:after="283"/>
              <w:jc w:val="both"/>
              <w:rPr/>
            </w:pPr>
            <w:r>
              <w:rPr>
                <w:color w:val="000000"/>
              </w:rPr>
              <w:t>“</w:t>
            </w:r>
            <w:r>
              <w:rPr>
                <w:rFonts w:ascii="Times New Roman" w:hAnsi="Times New Roman"/>
                <w:i/>
                <w:color w:val="000000"/>
                <w:sz w:val="24"/>
              </w:rPr>
              <w:t>Paying Agent</w:t>
            </w:r>
            <w:r>
              <w:rPr>
                <w:rFonts w:ascii="Times New Roman" w:hAnsi="Times New Roman"/>
                <w:color w:val="000000"/>
                <w:sz w:val="24"/>
              </w:rPr>
              <w:t>”</w:t>
            </w:r>
          </w:p>
        </w:tc>
        <w:tc>
          <w:tcPr>
            <w:tcW w:w="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2.4</w:t>
            </w:r>
          </w:p>
        </w:tc>
      </w:tr>
      <w:tr>
        <w:trPr/>
        <w:tc>
          <w:tcPr>
            <w:tcW w:w="3451" w:type="dxa"/>
            <w:tcBorders/>
            <w:tcMar>
              <w:top w:w="0" w:type="dxa"/>
              <w:left w:w="0" w:type="dxa"/>
              <w:bottom w:w="0" w:type="dxa"/>
              <w:right w:w="0" w:type="dxa"/>
            </w:tcMar>
            <w:vAlign w:val="center"/>
          </w:tcPr>
          <w:p>
            <w:pPr>
              <w:pStyle w:val="TableContents"/>
              <w:bidi w:val="0"/>
              <w:spacing w:before="0" w:after="283"/>
              <w:jc w:val="both"/>
              <w:rPr/>
            </w:pPr>
            <w:r>
              <w:rPr>
                <w:color w:val="000000"/>
              </w:rPr>
              <w:t>“</w:t>
            </w:r>
            <w:r>
              <w:rPr>
                <w:rFonts w:ascii="Times New Roman" w:hAnsi="Times New Roman"/>
                <w:i/>
                <w:color w:val="000000"/>
                <w:sz w:val="24"/>
              </w:rPr>
              <w:t>Registrar</w:t>
            </w:r>
            <w:r>
              <w:rPr>
                <w:rFonts w:ascii="Times New Roman" w:hAnsi="Times New Roman"/>
                <w:color w:val="000000"/>
                <w:sz w:val="24"/>
              </w:rPr>
              <w:t>”</w:t>
            </w:r>
          </w:p>
        </w:tc>
        <w:tc>
          <w:tcPr>
            <w:tcW w:w="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2.4</w:t>
            </w:r>
          </w:p>
        </w:tc>
      </w:tr>
      <w:tr>
        <w:trPr/>
        <w:tc>
          <w:tcPr>
            <w:tcW w:w="3451" w:type="dxa"/>
            <w:tcBorders/>
            <w:tcMar>
              <w:top w:w="0" w:type="dxa"/>
              <w:left w:w="0" w:type="dxa"/>
              <w:bottom w:w="0" w:type="dxa"/>
              <w:right w:w="0" w:type="dxa"/>
            </w:tcMar>
            <w:vAlign w:val="center"/>
          </w:tcPr>
          <w:p>
            <w:pPr>
              <w:pStyle w:val="TableContents"/>
              <w:bidi w:val="0"/>
              <w:spacing w:before="0" w:after="283"/>
              <w:jc w:val="both"/>
              <w:rPr/>
            </w:pPr>
            <w:r>
              <w:rPr>
                <w:color w:val="000000"/>
              </w:rPr>
              <w:t>“</w:t>
            </w:r>
            <w:r>
              <w:rPr>
                <w:rFonts w:ascii="Times New Roman" w:hAnsi="Times New Roman"/>
                <w:i/>
                <w:color w:val="000000"/>
                <w:sz w:val="24"/>
              </w:rPr>
              <w:t>Required Currency</w:t>
            </w:r>
            <w:r>
              <w:rPr>
                <w:rFonts w:ascii="Times New Roman" w:hAnsi="Times New Roman"/>
                <w:color w:val="000000"/>
                <w:sz w:val="24"/>
              </w:rPr>
              <w:t>”</w:t>
            </w:r>
          </w:p>
        </w:tc>
        <w:tc>
          <w:tcPr>
            <w:tcW w:w="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10.16</w:t>
            </w:r>
          </w:p>
        </w:tc>
      </w:tr>
      <w:tr>
        <w:trPr/>
        <w:tc>
          <w:tcPr>
            <w:tcW w:w="3451" w:type="dxa"/>
            <w:tcBorders/>
            <w:tcMar>
              <w:top w:w="0" w:type="dxa"/>
              <w:left w:w="0" w:type="dxa"/>
              <w:bottom w:w="0" w:type="dxa"/>
              <w:right w:w="0" w:type="dxa"/>
            </w:tcMar>
            <w:vAlign w:val="center"/>
          </w:tcPr>
          <w:p>
            <w:pPr>
              <w:pStyle w:val="TableContents"/>
              <w:bidi w:val="0"/>
              <w:spacing w:before="0" w:after="283"/>
              <w:jc w:val="both"/>
              <w:rPr/>
            </w:pPr>
            <w:r>
              <w:rPr>
                <w:color w:val="000000"/>
              </w:rPr>
              <w:t>“</w:t>
            </w:r>
            <w:r>
              <w:rPr>
                <w:rFonts w:ascii="Times New Roman" w:hAnsi="Times New Roman"/>
                <w:i/>
                <w:color w:val="000000"/>
                <w:sz w:val="24"/>
              </w:rPr>
              <w:t>Specified Courts</w:t>
            </w:r>
            <w:r>
              <w:rPr>
                <w:rFonts w:ascii="Times New Roman" w:hAnsi="Times New Roman"/>
                <w:color w:val="000000"/>
                <w:sz w:val="24"/>
              </w:rPr>
              <w:t>”</w:t>
            </w:r>
          </w:p>
        </w:tc>
        <w:tc>
          <w:tcPr>
            <w:tcW w:w="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10.10</w:t>
            </w:r>
          </w:p>
        </w:tc>
      </w:tr>
      <w:tr>
        <w:trPr/>
        <w:tc>
          <w:tcPr>
            <w:tcW w:w="3451" w:type="dxa"/>
            <w:tcBorders/>
            <w:tcMar>
              <w:top w:w="0" w:type="dxa"/>
              <w:left w:w="0" w:type="dxa"/>
              <w:bottom w:w="0" w:type="dxa"/>
              <w:right w:w="0" w:type="dxa"/>
            </w:tcMar>
            <w:vAlign w:val="center"/>
          </w:tcPr>
          <w:p>
            <w:pPr>
              <w:pStyle w:val="TableContents"/>
              <w:bidi w:val="0"/>
              <w:spacing w:before="0" w:after="283"/>
              <w:jc w:val="both"/>
              <w:rPr/>
            </w:pPr>
            <w:r>
              <w:rPr>
                <w:color w:val="000000"/>
              </w:rPr>
              <w:t>“</w:t>
            </w:r>
            <w:r>
              <w:rPr>
                <w:rFonts w:ascii="Times New Roman" w:hAnsi="Times New Roman"/>
                <w:i/>
                <w:color w:val="000000"/>
                <w:sz w:val="24"/>
              </w:rPr>
              <w:t>successor person</w:t>
            </w:r>
            <w:r>
              <w:rPr>
                <w:rFonts w:ascii="Times New Roman" w:hAnsi="Times New Roman"/>
                <w:color w:val="000000"/>
                <w:sz w:val="24"/>
              </w:rPr>
              <w:t>”</w:t>
            </w:r>
          </w:p>
        </w:tc>
        <w:tc>
          <w:tcPr>
            <w:tcW w:w="7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5.1</w:t>
            </w:r>
          </w:p>
        </w:tc>
      </w:tr>
    </w:tbl>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1.3. Incorporation by Reference of Trust Indenture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Whenever this Indenture refers to a provision of the TIA, the provision is incorporated by reference in and made a part of this Indenture. The following TIA terms used in this Indenture have the following meanings:</w:t>
      </w:r>
    </w:p>
    <w:p>
      <w:pPr>
        <w:pStyle w:val="TextBody"/>
        <w:bidi w:val="0"/>
        <w:spacing w:before="0" w:after="240"/>
        <w:jc w:val="both"/>
        <w:rPr/>
      </w:pPr>
      <w:r>
        <w:rPr>
          <w:color w:val="000000"/>
        </w:rPr>
        <w:t>“</w:t>
      </w:r>
      <w:r>
        <w:rPr>
          <w:rFonts w:ascii="Times New Roman" w:hAnsi="Times New Roman"/>
          <w:i/>
          <w:color w:val="000000"/>
          <w:sz w:val="24"/>
        </w:rPr>
        <w:t>Commission</w:t>
      </w:r>
      <w:r>
        <w:rPr>
          <w:rFonts w:ascii="Times New Roman" w:hAnsi="Times New Roman"/>
          <w:color w:val="000000"/>
          <w:sz w:val="20"/>
        </w:rPr>
        <w:t xml:space="preserve">” </w:t>
      </w:r>
      <w:r>
        <w:rPr>
          <w:rFonts w:ascii="Times New Roman" w:hAnsi="Times New Roman"/>
          <w:color w:val="000000"/>
          <w:sz w:val="24"/>
        </w:rPr>
        <w:t>means the SEC.</w:t>
      </w:r>
    </w:p>
    <w:p>
      <w:pPr>
        <w:pStyle w:val="TextBody"/>
        <w:bidi w:val="0"/>
        <w:spacing w:before="0" w:after="240"/>
        <w:jc w:val="both"/>
        <w:rPr/>
      </w:pPr>
      <w:r>
        <w:rPr>
          <w:color w:val="000000"/>
        </w:rPr>
        <w:t>“</w:t>
      </w:r>
      <w:r>
        <w:rPr>
          <w:rFonts w:ascii="Times New Roman" w:hAnsi="Times New Roman"/>
          <w:i/>
          <w:color w:val="000000"/>
          <w:sz w:val="24"/>
        </w:rPr>
        <w:t>indenture securities</w:t>
      </w:r>
      <w:r>
        <w:rPr>
          <w:rFonts w:ascii="Times New Roman" w:hAnsi="Times New Roman"/>
          <w:color w:val="000000"/>
          <w:sz w:val="20"/>
        </w:rPr>
        <w:t xml:space="preserve">” </w:t>
      </w:r>
      <w:r>
        <w:rPr>
          <w:rFonts w:ascii="Times New Roman" w:hAnsi="Times New Roman"/>
          <w:color w:val="000000"/>
          <w:sz w:val="24"/>
        </w:rPr>
        <w:t>means the Securities.</w:t>
      </w:r>
    </w:p>
    <w:p>
      <w:pPr>
        <w:pStyle w:val="TextBody"/>
        <w:bidi w:val="0"/>
        <w:spacing w:before="0" w:after="240"/>
        <w:jc w:val="both"/>
        <w:rPr/>
      </w:pPr>
      <w:r>
        <w:rPr>
          <w:color w:val="000000"/>
        </w:rPr>
        <w:t>“</w:t>
      </w:r>
      <w:r>
        <w:rPr>
          <w:rFonts w:ascii="Times New Roman" w:hAnsi="Times New Roman"/>
          <w:i/>
          <w:color w:val="000000"/>
          <w:sz w:val="24"/>
        </w:rPr>
        <w:t>indenture security holder</w:t>
      </w:r>
      <w:r>
        <w:rPr>
          <w:rFonts w:ascii="Times New Roman" w:hAnsi="Times New Roman"/>
          <w:color w:val="000000"/>
          <w:sz w:val="20"/>
        </w:rPr>
        <w:t xml:space="preserve">” </w:t>
      </w:r>
      <w:r>
        <w:rPr>
          <w:rFonts w:ascii="Times New Roman" w:hAnsi="Times New Roman"/>
          <w:color w:val="000000"/>
          <w:sz w:val="24"/>
        </w:rPr>
        <w:t>means a Holder.</w:t>
      </w:r>
    </w:p>
    <w:p>
      <w:pPr>
        <w:pStyle w:val="TextBody"/>
        <w:bidi w:val="0"/>
        <w:spacing w:before="0" w:after="240"/>
        <w:jc w:val="both"/>
        <w:rPr/>
      </w:pPr>
      <w:r>
        <w:rPr>
          <w:color w:val="000000"/>
        </w:rPr>
        <w:t>“</w:t>
      </w:r>
      <w:r>
        <w:rPr>
          <w:rFonts w:ascii="Times New Roman" w:hAnsi="Times New Roman"/>
          <w:i/>
          <w:color w:val="000000"/>
          <w:sz w:val="24"/>
        </w:rPr>
        <w:t>indenture to be qualified</w:t>
      </w:r>
      <w:r>
        <w:rPr>
          <w:rFonts w:ascii="Times New Roman" w:hAnsi="Times New Roman"/>
          <w:color w:val="000000"/>
          <w:sz w:val="20"/>
        </w:rPr>
        <w:t xml:space="preserve">” </w:t>
      </w:r>
      <w:r>
        <w:rPr>
          <w:rFonts w:ascii="Times New Roman" w:hAnsi="Times New Roman"/>
          <w:color w:val="000000"/>
          <w:sz w:val="24"/>
        </w:rPr>
        <w:t>means this Indenture.</w:t>
      </w:r>
    </w:p>
    <w:p>
      <w:pPr>
        <w:pStyle w:val="TextBody"/>
        <w:bidi w:val="0"/>
        <w:spacing w:before="0" w:after="240"/>
        <w:jc w:val="both"/>
        <w:rPr/>
      </w:pPr>
      <w:r>
        <w:rPr>
          <w:color w:val="000000"/>
        </w:rPr>
        <w:t>“</w:t>
      </w:r>
      <w:r>
        <w:rPr>
          <w:rFonts w:ascii="Times New Roman" w:hAnsi="Times New Roman"/>
          <w:i/>
          <w:color w:val="000000"/>
          <w:sz w:val="24"/>
        </w:rPr>
        <w:t>indenture trustee</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i/>
          <w:color w:val="000000"/>
          <w:sz w:val="24"/>
        </w:rPr>
        <w:t>institutional trustee</w:t>
      </w:r>
      <w:r>
        <w:rPr>
          <w:rFonts w:ascii="Times New Roman" w:hAnsi="Times New Roman"/>
          <w:color w:val="000000"/>
          <w:sz w:val="20"/>
        </w:rPr>
        <w:t xml:space="preserve">” </w:t>
      </w:r>
      <w:r>
        <w:rPr>
          <w:rFonts w:ascii="Times New Roman" w:hAnsi="Times New Roman"/>
          <w:color w:val="000000"/>
          <w:sz w:val="24"/>
        </w:rPr>
        <w:t>means the Trustee.</w:t>
      </w:r>
    </w:p>
    <w:p>
      <w:pPr>
        <w:pStyle w:val="TextBody"/>
        <w:bidi w:val="0"/>
        <w:spacing w:before="0" w:after="240"/>
        <w:jc w:val="both"/>
        <w:rPr/>
      </w:pPr>
      <w:r>
        <w:rPr>
          <w:color w:val="000000"/>
        </w:rPr>
        <w:t>“</w:t>
      </w:r>
      <w:r>
        <w:rPr>
          <w:rFonts w:ascii="Times New Roman" w:hAnsi="Times New Roman"/>
          <w:i/>
          <w:color w:val="000000"/>
          <w:sz w:val="24"/>
        </w:rPr>
        <w:t>obligor</w:t>
      </w:r>
      <w:r>
        <w:rPr>
          <w:rFonts w:ascii="Times New Roman" w:hAnsi="Times New Roman"/>
          <w:color w:val="000000"/>
          <w:sz w:val="20"/>
        </w:rPr>
        <w:t xml:space="preserve">” </w:t>
      </w:r>
      <w:r>
        <w:rPr>
          <w:rFonts w:ascii="Times New Roman" w:hAnsi="Times New Roman"/>
          <w:color w:val="000000"/>
          <w:sz w:val="24"/>
        </w:rPr>
        <w:t>on the indenture securities means the Company and any successor obligor upon the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other terms used in this Indenture that are defined by the TIA, defined by TIA reference to another statute or defined by SEC rule under the TIA and not otherwise defined herein are used herein as so defined.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1.4. Rules of Construction.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Unless the context otherwise requires: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a term has the meaning assigned to it;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an accounting term not otherwise defined has the meaning assigned to it in accordance with GAAP;</w:t>
      </w:r>
    </w:p>
    <w:p>
      <w:pPr>
        <w:pStyle w:val="TextBody"/>
        <w:bidi w:val="0"/>
        <w:spacing w:before="0" w:after="240"/>
        <w:jc w:val="both"/>
        <w:rPr>
          <w:rFonts w:ascii="Times New Roman" w:hAnsi="Times New Roman"/>
          <w:sz w:val="20"/>
        </w:rPr>
      </w:pPr>
      <w:r>
        <w:rPr>
          <w:rFonts w:ascii="Times New Roman" w:hAnsi="Times New Roman"/>
          <w:color w:val="000000"/>
          <w:sz w:val="24"/>
        </w:rPr>
        <w:t>(c) “</w:t>
      </w:r>
      <w:r>
        <w:rPr>
          <w:rFonts w:ascii="Times New Roman" w:hAnsi="Times New Roman"/>
          <w:i/>
          <w:color w:val="000000"/>
          <w:sz w:val="24"/>
        </w:rPr>
        <w:t>or</w:t>
      </w:r>
      <w:r>
        <w:rPr>
          <w:rFonts w:ascii="Times New Roman" w:hAnsi="Times New Roman"/>
          <w:color w:val="000000"/>
          <w:sz w:val="20"/>
        </w:rPr>
        <w:t xml:space="preserve">” </w:t>
      </w:r>
      <w:r>
        <w:rPr>
          <w:rFonts w:ascii="Times New Roman" w:hAnsi="Times New Roman"/>
          <w:color w:val="000000"/>
          <w:sz w:val="24"/>
        </w:rPr>
        <w:t>is not exclusive;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words in the singular include the plural, and in the plural include the singular;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provisions apply to successive events and transactions;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in the computation of periods of time from a specified date to a later specified date, the word “from” means “from and including,” and the words “to” and “until” each mean “to but excluding”;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the phrase “in writing” as used herein shall be deemed to include PDFs, e-mails and other electronic means of transmission, unless otherwise indicated.</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aps/>
          <w:color w:val="000000"/>
          <w:sz w:val="24"/>
        </w:rPr>
      </w:pPr>
      <w:r>
        <w:rPr>
          <w:rFonts w:ascii="Times New Roman" w:hAnsi="Times New Roman"/>
          <w:caps/>
          <w:color w:val="000000"/>
          <w:sz w:val="24"/>
        </w:rPr>
        <w:t>Article 2</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THE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2.1. Issuable in Series.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a supplemental indenture or an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2.2. Establishment of Terms of Series of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2.2.23) by or pursuant to a Board Resolution, and set forth or determined in the manner provided in a Board Resolution, supplemental indenture hereto or Officer’s Certificate: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2.2.1 the title (which shall distinguish the Securities of that particular Series from the Securities of any other Series) and ranking (including the terms of any subordination provisions) of the Series;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2.2.2 the price or prices (expressed as a percentage of the principal amount thereof) at which the Securities of the Series will be issued;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2.2.4 the date or dates on which the principal of the Securities of the Series is payable;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2.2.7 if applicable, the period or periods within which, the price or prices at which and the terms and conditions upon which the Securities of the Series may be redeemed, in whole or in part, at the option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2.2.9 the dates, if any, on which and the price or prices at which the Securities of the Series will be repurchased by the Company at the option of the Holders thereof and other detailed terms and provisions of such repurchase obligations;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2.2.10 if other than denominations of $1,000 and any integral multiple thereof, the denominations in which the Securities of the Series shall be issuable;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2.2.11 the forms of the Securities of the Series and whether the Securities will be issuable as Global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2.2.12 if other than the principal amount thereof, the portion of the principal amount of the Securities of the Series that shall be payable upon declaration of acceleration of the maturity thereof pursuant to Section 6.2;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2.2.13 the currency of denomination of the Securities of the Series, which may be Dollars or any Foreign Currency, and if such currency of denomination is a composite currency, the agency or organization, if any, responsible for overseeing such composite currency;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2.2.14 the designation of the currency, currencies or currency units in which payment of the principal of and interest, if any, on the Securities of the Series will be made;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2.2.16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2.2.17 the provisions, if any, relating to any security provided for the Securities of the Series;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2.2.18 any addition to, deletion of or change in the Events of Default which applies to any Securities of the Series and any change in the right of the Trustee or the requisite Holders of such Securities to declare the principal amount thereof due and payable pursuant to Section 6.2;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2.2.19 any addition to, deletion of or change in the covenants applicable to Securities of the Series;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2.2.20 any Depositaries, interest rate calculation agents, exchange rate calculation agents or other agents with respect to Securities of such Series if other than those appointed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2.2.21 the provisions, if any, relating to conversion or exchange of any Securities of such Series, including if applicable, the conversion or exchange price, the conversion or exchange period, provisions as to whether conversion or exchange will be mandatory, at the option of the Holders thereof or at the option of the Company, the events requiring an adjustment of the conversion price or exchange price and provisions affecting conversion or exchange if such Series of Securities are redeemed;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2.2.22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2.2.23 whether any of the Company’s direct or indirect Subsidiaries will guarantee the Securities of that Series, including the terms of subordination, if any, of such guarantees.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2.3. Execution and Authentication.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 Officer shall sign the Securities for the Company by manual, facsimile or electronic signature.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an Officer whose signature is on a Security no longer holds that office at the time the Security is authenticated, the Security shall nevertheless be valid.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Security shall not be valid until authenticated by the manual signature or facsimile of the Trustee or an authenticating agent. The signature shall be conclusive evidence that the Security has been authenticated under this Indenture.</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Prior to the issuance of Securities of any Series, the Trustee shall have received and (subject to Section 7.2) shall be fully protected in relying on: (a) 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Sections 10.4 and 10.5, and (c) an Opinion of Counsel complying with Sections 10.4 and 10.5.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Trustee shall have the right to decline to authenticate and deliver any Securities of such Series: (a) if the Trustee, being advised by counsel, determines that such action may not be taken lawfully; or (b) if the Trustee in good faith determines that such action may expose the Trustee to personal liability.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2.4. Registrar, Paying Agent and Notice Agent.</w:t>
      </w:r>
    </w:p>
    <w:p>
      <w:pPr>
        <w:pStyle w:val="TextBody"/>
        <w:bidi w:val="0"/>
        <w:spacing w:before="0" w:after="240"/>
        <w:jc w:val="both"/>
        <w:rPr>
          <w:rFonts w:ascii="Times New Roman" w:hAnsi="Times New Roman"/>
          <w:sz w:val="20"/>
        </w:rPr>
      </w:pPr>
      <w:r>
        <w:rPr>
          <w:rFonts w:ascii="Times New Roman" w:hAnsi="Times New Roman"/>
          <w:color w:val="000000"/>
          <w:sz w:val="24"/>
        </w:rPr>
        <w:t>The Company shall maintain, with respect to each Series of Securities, at the place or places specified with respect to such Series pursuant to Section 2.2, an office or agency where Securities of such Series may be presented or surrendered for payment (“</w:t>
      </w:r>
      <w:r>
        <w:rPr>
          <w:rFonts w:ascii="Times New Roman" w:hAnsi="Times New Roman"/>
          <w:i/>
          <w:color w:val="000000"/>
          <w:sz w:val="24"/>
        </w:rPr>
        <w:t>Paying Agent</w:t>
      </w:r>
      <w:r>
        <w:rPr>
          <w:rFonts w:ascii="Times New Roman" w:hAnsi="Times New Roman"/>
          <w:color w:val="000000"/>
          <w:sz w:val="20"/>
        </w:rPr>
        <w:t>”</w:t>
      </w:r>
      <w:r>
        <w:rPr>
          <w:rFonts w:ascii="Times New Roman" w:hAnsi="Times New Roman"/>
          <w:color w:val="000000"/>
          <w:sz w:val="24"/>
        </w:rPr>
        <w:t>), where Securities of such Series may be surrendered for registration of transfer or exchange (“</w:t>
      </w:r>
      <w:r>
        <w:rPr>
          <w:rFonts w:ascii="Times New Roman" w:hAnsi="Times New Roman"/>
          <w:i/>
          <w:color w:val="000000"/>
          <w:sz w:val="24"/>
        </w:rPr>
        <w:t>Registrar</w:t>
      </w:r>
      <w:r>
        <w:rPr>
          <w:rFonts w:ascii="Times New Roman" w:hAnsi="Times New Roman"/>
          <w:color w:val="000000"/>
          <w:sz w:val="20"/>
        </w:rPr>
        <w:t>”</w:t>
      </w:r>
      <w:r>
        <w:rPr>
          <w:rFonts w:ascii="Times New Roman" w:hAnsi="Times New Roman"/>
          <w:color w:val="000000"/>
          <w:sz w:val="24"/>
        </w:rPr>
        <w:t>) and where notices and demands to or upon the Company in respect of the Securities of such Series and this Indenture may be delivered (“</w:t>
      </w:r>
      <w:r>
        <w:rPr>
          <w:rFonts w:ascii="Times New Roman" w:hAnsi="Times New Roman"/>
          <w:i/>
          <w:color w:val="000000"/>
          <w:sz w:val="24"/>
        </w:rPr>
        <w:t>Notice Agent</w:t>
      </w:r>
      <w:r>
        <w:rPr>
          <w:rFonts w:ascii="Times New Roman" w:hAnsi="Times New Roman"/>
          <w:color w:val="000000"/>
          <w:sz w:val="20"/>
        </w:rPr>
        <w:t>”</w:t>
      </w:r>
      <w:r>
        <w:rPr>
          <w:rFonts w:ascii="Times New Roman" w:hAnsi="Times New Roman"/>
          <w:color w:val="000000"/>
          <w:sz w:val="24"/>
        </w:rPr>
        <w:t>).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provided, however, that any appointment of the Trustee as the Notice Agent shall exclude the appointment of the Trustee or any office of the Trustee as an agent to receive the service of legal process on the Company.</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color w:val="000000"/>
          <w:sz w:val="24"/>
        </w:rPr>
        <w:t>The Company may also from time to time designate one or more co-registrars, additional paying agents or additional notice agents and may from time to time rescind such designations; provided, however, that no such designation or rescission shall in any manner relieve the Company of its obligations to maintain a Registrar, Paying Agent and Notice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additional notice agent. The term “</w:t>
      </w:r>
      <w:r>
        <w:rPr>
          <w:rFonts w:ascii="Times New Roman" w:hAnsi="Times New Roman"/>
          <w:i/>
          <w:color w:val="000000"/>
          <w:sz w:val="24"/>
        </w:rPr>
        <w:t>Registrar</w:t>
      </w:r>
      <w:r>
        <w:rPr>
          <w:rFonts w:ascii="Times New Roman" w:hAnsi="Times New Roman"/>
          <w:color w:val="000000"/>
          <w:sz w:val="20"/>
        </w:rPr>
        <w:t xml:space="preserve">” </w:t>
      </w:r>
      <w:r>
        <w:rPr>
          <w:rFonts w:ascii="Times New Roman" w:hAnsi="Times New Roman"/>
          <w:color w:val="000000"/>
          <w:sz w:val="24"/>
        </w:rPr>
        <w:t>includes any co-registrar; the term “</w:t>
      </w:r>
      <w:r>
        <w:rPr>
          <w:rFonts w:ascii="Times New Roman" w:hAnsi="Times New Roman"/>
          <w:i/>
          <w:color w:val="000000"/>
          <w:sz w:val="24"/>
        </w:rPr>
        <w:t>Paying Agent</w:t>
      </w:r>
      <w:r>
        <w:rPr>
          <w:rFonts w:ascii="Times New Roman" w:hAnsi="Times New Roman"/>
          <w:color w:val="000000"/>
          <w:sz w:val="20"/>
        </w:rPr>
        <w:t xml:space="preserve">” </w:t>
      </w:r>
      <w:r>
        <w:rPr>
          <w:rFonts w:ascii="Times New Roman" w:hAnsi="Times New Roman"/>
          <w:color w:val="000000"/>
          <w:sz w:val="24"/>
        </w:rPr>
        <w:t>includes any additional paying agent; and the term “</w:t>
      </w:r>
      <w:r>
        <w:rPr>
          <w:rFonts w:ascii="Times New Roman" w:hAnsi="Times New Roman"/>
          <w:i/>
          <w:color w:val="000000"/>
          <w:sz w:val="24"/>
        </w:rPr>
        <w:t>Notice Agent</w:t>
      </w:r>
      <w:r>
        <w:rPr>
          <w:rFonts w:ascii="Times New Roman" w:hAnsi="Times New Roman"/>
          <w:color w:val="000000"/>
          <w:sz w:val="20"/>
        </w:rPr>
        <w:t xml:space="preserve">” </w:t>
      </w:r>
      <w:r>
        <w:rPr>
          <w:rFonts w:ascii="Times New Roman" w:hAnsi="Times New Roman"/>
          <w:color w:val="000000"/>
          <w:sz w:val="24"/>
        </w:rPr>
        <w:t>includes any additional notice agent. The Company or any of its Affiliates may serve as Registrar or Paying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hereby appoints the Trustee the initial Registrar, Paying Agent and Notice Agent for each Series unless another Registrar, Paying Agent or Notice Agent, as the case may be, is appointed prior to the time Securities of that Series are first issued. The rights, powers, duties, obligations and actions of each Agent under this Indenture are several and not joint or joint and several, and the Agents shall only be obliged to perform those duties expressly set out in this Indenture and shall have no implied duties.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2.5. Paying Agent to Hold Money in Trust.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shall require each Paying Agent other than the Trustee to agree in writing that the Paying Agent will hold in trust, for the benefit of Holders of any Series of Securities or the Trustee, all money held by the Paying Agent for the payment of principal of or interest on the Series of Securities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Holders of any Series of Securities all money held by it as Paying Agent. Upon any bankruptcy, reorganization or similar proceeding with respect to the Company, the Trustee shall serve as Paying Agent for the Securities. For the avoidance of doubt, a Paying Agent and the Trustee shall be held harmless and have no liability with respect to payments or disbursements (including to the Holders) until they have confirmed receipt of funds sufficient to make the relevant payment. No money held by an Agent needs to be segregated except as is required by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2.6. Holder Lists.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it is serving as Registrar, the Trustee shall preserve in as current a form as is reasonably practicable the most recent list available to it of the names and addresses of 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Holders of each Series of Securities.</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Every Holder, by receiving and holding Securities, agrees with the Company and the Trustee that neither the Company nor the Trustee or any agent of either of them shall be held accountable by reason of the disclosure of any such information as to the names and addresses of the Holders in accordance with TIA § 312, regardless of the source from which such information was derived, and that the Trustee shall not be held accountable by reason of mailing any material pursuant to a request made under TIA § 312(b).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2.7. Transfer and Exchange.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Neither the Company nor the Registrar shall be required (a) to issue, register the transfer of or exchange Securities of any Series for the period beginning at the opening of business 15 days immediately preceding the sending of a notice of redemption of Securities of that Series selected for redemption and ending at the close of business on the day such notice is sent, (b) to register the transfer of or exchange Securities of any Series selected, called or being called for redemption as a whole or the portion being redeemed of any such Securities selected, called or being called for redemption in part or (c) to register the transfer of or exchange Securities of any Series between a record date and payment date for such Series of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2.8. Mutilated, Destroyed, Lost and Stolen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there shall be delivered to the Company and the Trustee (i) evidence to their satisfaction of the destruction, loss or theft of any Security and (ii) such security or indemnity bond as may be required by each of them to hold itself and any of its agents harmless, then, in the absence of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case any such mutilated, destroyed, lost or stolen Security has become or is about to become due and payable, the Company in its discretion may, instead of issuing a new Security, pay such Security.</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provisions of this Section are exclusive and shall preclude (to the extent lawful) all other rights and remedies with respect to the replacement or payment of mutilated, destroyed, lost or stolen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2.9. Outstanding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 Security is replaced pursuant to Section 2.8, it ceases to be outstanding until the Trustee receives proof satisfactory to it that the replaced Security is held by a bona fide purchaser.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may purchase or otherwise acquire the Securities, whether by open market purchases, negotiated transactions or otherwise. A Security does not cease to be outstanding because the Company or an Affiliate of the Company holds the Security (but see Section 2.10 below).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2.10. Treasury Securities.</w:t>
      </w:r>
    </w:p>
    <w:p>
      <w:pPr>
        <w:pStyle w:val="TextBody"/>
        <w:bidi w:val="0"/>
        <w:spacing w:before="0" w:after="240"/>
        <w:jc w:val="both"/>
        <w:rPr>
          <w:rFonts w:ascii="Times New Roman" w:hAnsi="Times New Roman"/>
          <w:sz w:val="20"/>
        </w:rPr>
      </w:pPr>
      <w:r>
        <w:rPr>
          <w:rFonts w:ascii="Times New Roman" w:hAnsi="Times New Roman"/>
          <w:color w:val="000000"/>
          <w:sz w:val="24"/>
        </w:rPr>
        <w:t>In determining whether the Holders of the required principal amount of Securities of a Series have concurred in any request, demand, authorization, direction, notice, consent or waiver, Securities of a Series owned by the Company or any Affiliate of the Company shall be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disregarded, except that for the purposes of determining whether the Trustee shall be protected in relying on any such request, demand, authorization, direction, notice, consent or waiver only Securities of a Series that a Responsible Officer of the Trustee knows are so owned shall be so disregarded.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2.11. Temporary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2.12. Cancellation.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and shall destroy such canceled Securities (subject to the record retention requirements of the Exchange Act and the Trustee) and deliver a certificate of such cancellation to the Company upon written request of the Company. The Company may not issue new Securities to replace Securities that it has paid or delivered to the Trustee for cancellation.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2.13. Defaulted Interest.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Company defaults in a payment of interest on a Series of Securities, it shall pay the defaulted interest, plus, to the extent permitted by law, any interest payable on the defaulted interest, to the persons who are Holders of the Series on a subsequent special record date. The Company shall fix the record date and payment date. At least ten days before the special record date, the Company shall send to the Trustee and to each Holder of the Series a notice that states the special record date, the payment date and the amount of interest to be paid. The Company may pay defaulted interest in any other lawful manner.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2.14. Global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2.14.1 Terms of Securities.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pStyle w:val="TextBody"/>
        <w:bidi w:val="0"/>
        <w:spacing w:before="0" w:after="240"/>
        <w:jc w:val="both"/>
        <w:rPr>
          <w:rFonts w:ascii="Times New Roman" w:hAnsi="Times New Roman"/>
          <w:sz w:val="20"/>
        </w:rPr>
      </w:pPr>
      <w:r>
        <w:rPr>
          <w:rFonts w:ascii="Times New Roman" w:hAnsi="Times New Roman"/>
          <w:color w:val="000000"/>
          <w:sz w:val="24"/>
        </w:rPr>
        <w:t>2.14.2 Transfer and Exchange.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None of the Trustee or any Agent shall have any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members or beneficial owners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None of the Trustee or any Agent shall have any responsibility or obligation to any beneficial owner of a Global Security, a member of, or a participant in the Depositary or other Person with respect to the accuracy of the records of the Depositary or its nominee or of any participant or member thereof, with respect to any ownership interest in any Security or with respect to the delivery to any participant, member, beneficial owner or other Person (other than the Depositary) of any notice (including any notice of optional redemption) or the payment of any amount, under or with respect to such Security.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2.14.3 Legends. Any Global Security issued hereunder shall bear a legend in substantially the following form:</w:t>
      </w:r>
    </w:p>
    <w:p>
      <w:pPr>
        <w:pStyle w:val="TextBody"/>
        <w:bidi w:val="0"/>
        <w:spacing w:before="0" w:after="240"/>
        <w:jc w:val="both"/>
        <w:rPr>
          <w:color w:val="000000"/>
        </w:rPr>
      </w:pPr>
      <w:r>
        <w:rPr>
          <w:color w:val="000000"/>
        </w:rPr>
        <w:t>“</w:t>
      </w:r>
      <w:r>
        <w:rPr>
          <w:rFonts w:ascii="Times New Roman" w:hAnsi="Times New Roman"/>
          <w:color w:val="000000"/>
          <w:sz w:val="24"/>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addition, so long as the Depository Trust Company (“DTC”) is the Depositary, each Global Security registered in the name of DTC or its nominee shall bear a legend in substantially the following form:</w:t>
      </w:r>
    </w:p>
    <w:p>
      <w:pPr>
        <w:pStyle w:val="TextBody"/>
        <w:bidi w:val="0"/>
        <w:spacing w:before="0" w:after="240"/>
        <w:jc w:val="both"/>
        <w:rPr>
          <w:color w:val="000000"/>
        </w:rPr>
      </w:pPr>
      <w:r>
        <w:rPr>
          <w:color w:val="000000"/>
        </w:rPr>
        <w:t>“</w:t>
      </w:r>
      <w:r>
        <w:rPr>
          <w:rFonts w:ascii="Times New Roman" w:hAnsi="Times New Roman"/>
          <w:color w:val="000000"/>
          <w:sz w:val="24"/>
        </w:rPr>
        <w:t>UNLESS THIS GLOBAL SECURITY IS PRESENTED BY AN AUTHORIZED REPRESENTATIVE OF THE DEPOSITORY TRUST COMPANY, A NEW YORK CORPORATION (“DTC”), TO THE COMPANY OR ITS AGENT FOR REGISTRATION OF TRANSFER, EXCHANGE OR PAYMENT, AND ANY GLOBAL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2.14.4 Acts of Holders. The Depositary, as a Holder, may appoint agents and otherwise authorize participants to give or take any request, demand, authorization, direction, notice, consent, waiver or other action which a Holder is entitled to give or take under the Indenture.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2.14.5 Payments. Notwithstanding the other provisions of this Indenture, unless otherwise specified as contemplated by Section 2.2, payment of the principal of and interest, if any, on any Global Security shall be made to the Holder thereof.</w:t>
      </w:r>
    </w:p>
    <w:p>
      <w:pPr>
        <w:pStyle w:val="TextBody"/>
        <w:bidi w:val="0"/>
        <w:spacing w:before="0" w:after="240"/>
        <w:jc w:val="both"/>
        <w:rPr>
          <w:rFonts w:ascii="Times New Roman" w:hAnsi="Times New Roman"/>
          <w:sz w:val="20"/>
        </w:rPr>
      </w:pPr>
      <w:r>
        <w:rPr>
          <w:rFonts w:ascii="Times New Roman" w:hAnsi="Times New Roman"/>
          <w:color w:val="000000"/>
          <w:sz w:val="24"/>
        </w:rPr>
        <w:t>2.14.6 Agent Members. The registered Holder of a Security will be treated as the owner of such Security for all purposes and only registered Holders shall have rights under this Indenture and the Securities. Members of, or participants in, the Depositary (“</w:t>
      </w:r>
      <w:r>
        <w:rPr>
          <w:rFonts w:ascii="Times New Roman" w:hAnsi="Times New Roman"/>
          <w:i/>
          <w:color w:val="000000"/>
          <w:sz w:val="24"/>
        </w:rPr>
        <w:t>Agent Members</w:t>
      </w:r>
      <w:r>
        <w:rPr>
          <w:rFonts w:ascii="Times New Roman" w:hAnsi="Times New Roman"/>
          <w:color w:val="000000"/>
          <w:sz w:val="20"/>
        </w:rPr>
        <w:t>”</w:t>
      </w:r>
      <w:r>
        <w:rPr>
          <w:rFonts w:ascii="Times New Roman" w:hAnsi="Times New Roman"/>
          <w:color w:val="000000"/>
          <w:sz w:val="24"/>
        </w:rPr>
        <w:t>) and persons who hold beneficial interests in a Global Security through an Agent Member shall have no rights under this Indenture with respect to any Global Security held on their behalf by the Depositary. The Depositary may be treated by the Company, the Trustee, the Paying Agent, the Registrar and any agent of the foregoing as the absolute owner of the Global Securities for all purposes whatsoever. Notwithstanding the foregoing, nothing herein shall prevent the Company, the Trustee, the Paying Agent, the Registrar or any agent of the foregoing from giving effect to any written certification, proxy or other authorization furnished by the Depositary or impair, as between the Depositary and its Agent Members, the operation of customary practices of such Depositary governing the exercise of the rights of a Holder of a beneficial interest in any Global Security.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2.15. CUSIP Numbers.</w:t>
      </w:r>
    </w:p>
    <w:p>
      <w:pPr>
        <w:pStyle w:val="TextBody"/>
        <w:bidi w:val="0"/>
        <w:jc w:val="both"/>
        <w:rPr>
          <w:rFonts w:ascii="Times New Roman" w:hAnsi="Times New Roman"/>
          <w:color w:val="000000"/>
          <w:sz w:val="24"/>
        </w:rPr>
      </w:pPr>
      <w:r>
        <w:rPr>
          <w:rFonts w:ascii="Times New Roman" w:hAnsi="Times New Roman"/>
          <w:color w:val="000000"/>
          <w:sz w:val="24"/>
        </w:rPr>
        <w:t>The Company in issuing the Securities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caps/>
          <w:color w:val="000000"/>
          <w:sz w:val="24"/>
        </w:rPr>
      </w:pPr>
      <w:r>
        <w:rPr>
          <w:rFonts w:ascii="Times New Roman" w:hAnsi="Times New Roman"/>
          <w:caps/>
          <w:color w:val="000000"/>
          <w:sz w:val="24"/>
        </w:rPr>
        <w:t>Article 3</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REDEMPTION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3.1. Notice to Trustee.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the Series of Securities to be redeemed. The Company shall give the notice at least 15 days before the redemption date (or such shorter period as may be acceptable to the Trustee).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3.2. Selection of Securities to be Redeemed.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Unless otherwise indicated for a particular Series by a Board Resolution, a supplemental indenture hereto or an Officer’s Certificate, if less than all the Securities of a Series are to be redeemed, the Securities of the Series to be redeemed will be selected as follows: (a) if the Securities are in the form of Global Securities, in accordance with the procedures of the Depositary, (b) if the Securities are listed on any national securities exchange, in compliance with the requirements of the principal national securities exchange, if any, on which the Securities are listed or (c) if not otherwise provided for under clause (a) or (b) in the manner that the Trustee deems fair and appropriate, including by lot or other method, unless otherwise required by law or applicable stock exchange requirements, subject, in the case of Global Securities, to the applicable rules and procedures of the Depositary. The Securities to be redeemed shall be selected from Securities of the Series outstanding not previously called for redemption. Portions of the principal of Securities of the Series that have denominations larger than $1,000 may be selected for redemption. Securities of the Series and portions of them it selected for redemption shall be in amounts of $1,000 or whole multiples of $1,000 or, with respect to Securities of any Series issuable in other denominations pursuant to Section 2.2.10, the minimum principal denomination for each Series and the authorized integral multiples thereof. Provisions of this Indenture that apply to Securities of a Series called for redemption also apply to portions of Securities of that Series called for redemption. Neither the Trustee nor the Paying Agent shall be liable for any selection made by it in accordance with this paragraph (including the procedures of the Depositary).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3.3. Notice of Redemption.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Unless otherwise indicated for a particular Series by Board Resolution, a supplemental indenture hereto or an Officer’s Certificate, at least 15 days but not more than 60 days before a redemption date, the Company shall send or cause to be sent by first-class mail or electronically, in accordance with the procedures of the Depositary, a notice of redemption to each Holder whose Securities are to be redeemed.</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notice shall identify the Securities of the Series to be redeemed and shall state: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redemption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redemption price;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the name and address of the Paying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if any Securities are being redeemed in part, the portion of the principal amount of such Securities to be redeemed and that, after the redemption date and upon surrender of such Security, a new Security or Securities in principal amount equal to the unredeemed portion of the original Security shall be issued in the name of the Holder thereof upon cancellation of the original Security;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that Securities of the Series called for redemption must be surrendered to the Paying Agent to collect the redemption price;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that interest on Securities of the Series called for redemption ceases to accrue on and after the redemption date unless the Company defaults in the deposit of the redemption price;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the “CUSIP” number, if any;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any other information as may be required by the terms of the particular Series or the Securities of a Series being redeemed.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At the Company’s request, the Trustee shall give the notice of redemption in the Company’s name and at its expense, provided, however, that the Company has delivered to the Trustee, at least 10 days (unless a shorter time shall be acceptable to the Trustee) prior to the notice date, an Officer’s Certificate requesting that the Trustee give such notice and setting forth the information to be stated in such notice and the form of such notice.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3.4. Effect of Notice of Redemption.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Once notice of redemption is sent as provided in Section 3.3,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 surrender to the Paying Agent, such Securities shall be paid at the redemption price plus accrued interest to the redemption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3.5. Deposit of Redemption Price.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On or before 11:00 a.m., New York City time, on the redemption date, the Company shall deposit with the Paying Agent money sufficient to pay the redemption price of and accrued interest, if any, on all Securities to be redeemed on that date.</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3.6. Securities Redeemed in Part.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surrender of a Security that is redeemed in part, the Trustee shall authenticate for the Holder a new Security of the same Series and the same maturity equal in principal amount to the unredeemed portion of the Security surrendered.</w:t>
      </w:r>
    </w:p>
    <w:p>
      <w:pPr>
        <w:pStyle w:val="TextBody"/>
        <w:bidi w:val="0"/>
        <w:jc w:val="center"/>
        <w:rPr>
          <w:rFonts w:ascii="Times New Roman" w:hAnsi="Times New Roman"/>
          <w:sz w:val="20"/>
        </w:rPr>
      </w:pPr>
      <w:r>
        <w:rPr>
          <w:rFonts w:ascii="Times New Roman" w:hAnsi="Times New Roman"/>
          <w:caps/>
          <w:color w:val="000000"/>
          <w:sz w:val="24"/>
        </w:rPr>
        <w:t>Article</w:t>
      </w:r>
      <w:r>
        <w:rPr>
          <w:rFonts w:ascii="Times New Roman" w:hAnsi="Times New Roman"/>
          <w:color w:val="000000"/>
          <w:sz w:val="20"/>
        </w:rPr>
        <w:t xml:space="preserve"> </w:t>
      </w:r>
      <w:r>
        <w:rPr>
          <w:rFonts w:ascii="Times New Roman" w:hAnsi="Times New Roman"/>
          <w:color w:val="000000"/>
          <w:sz w:val="24"/>
        </w:rPr>
        <w:t>4</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COVENANTS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4.1. Payment of Principal and Interest.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11:00 a.m., New York City time, on the applicable payment date, the Company shall deposit with the Paying Agent money sufficient to pay the principal of and interest, if any, on the Securities of each Series in accordance with the terms of such Securities and this Indenture.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4.2. SEC Reports.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extent any Securities of a Series are outstanding, 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Reports, information and documents filed with the SEC via the EDGAR system will be deemed to be delivered to the Trustee as of the time of such filing via EDGAR for purposes of this Section 4.2.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Delivery of reports, information and documents to the Trustee under this Section 4.2 is for informational purposes only and the Trustee’s receipt of the foregoing shall not constitute constructive or actual notice of any information contained therein or determinable from information contained therein, including the Company’s compliance with any of the covenants hereunder (as to which the Trustee is entitled to rely exclusively on Officer’s Certificates). All such reports, information or documents referred to in this Section 4.2 that the Company files with the SEC via the SEC’s EDGAR system shall be deemed to be filed with the Trustee and transmitted to Holders at the time such reports, information or documents are filed via the EDGAR system (or any successor system).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4.3. Compliance Certificate.</w:t>
      </w:r>
    </w:p>
    <w:p>
      <w:pPr>
        <w:pStyle w:val="TextBody"/>
        <w:bidi w:val="0"/>
        <w:spacing w:before="0" w:after="240"/>
        <w:jc w:val="both"/>
        <w:rPr>
          <w:rFonts w:ascii="Times New Roman" w:hAnsi="Times New Roman"/>
          <w:sz w:val="20"/>
        </w:rPr>
      </w:pPr>
      <w:r>
        <w:rPr>
          <w:rFonts w:ascii="Times New Roman" w:hAnsi="Times New Roman"/>
          <w:color w:val="000000"/>
          <w:sz w:val="24"/>
        </w:rPr>
        <w:t>To the extent any Securities of a Series are outstanding, 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 with a view to determining whether the Company has kept, observed, performed and fulfilled its obligations under this Indenture, and further stating, as to such Officer signing such certificate, that to the best of his/her knowledge the Company has kept, observed, performed and fulfilled each and every</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covenant contained in this Indenture and is not in default in the performance or observance of any of the terms, provisions and conditions hereof (or, if a Default or Event of Default shall have occurred, describing all such Defaults or Events of Default of which the Officer may have knowledge).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4.4. Stay, Extension and Usury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pStyle w:val="TextBody"/>
        <w:bidi w:val="0"/>
        <w:jc w:val="center"/>
        <w:rPr>
          <w:rFonts w:ascii="Times New Roman" w:hAnsi="Times New Roman"/>
          <w:caps/>
          <w:color w:val="000000"/>
          <w:sz w:val="24"/>
        </w:rPr>
      </w:pPr>
      <w:r>
        <w:rPr>
          <w:rFonts w:ascii="Times New Roman" w:hAnsi="Times New Roman"/>
          <w:caps/>
          <w:color w:val="000000"/>
          <w:sz w:val="24"/>
        </w:rPr>
        <w:t>Article 5</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SUCCESSORS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5.1. When Company May Merge, Etc.</w:t>
      </w:r>
    </w:p>
    <w:p>
      <w:pPr>
        <w:pStyle w:val="TextBody"/>
        <w:bidi w:val="0"/>
        <w:spacing w:before="0" w:after="240"/>
        <w:jc w:val="both"/>
        <w:rPr>
          <w:rFonts w:ascii="Times New Roman" w:hAnsi="Times New Roman"/>
          <w:sz w:val="20"/>
        </w:rPr>
      </w:pPr>
      <w:r>
        <w:rPr>
          <w:rFonts w:ascii="Times New Roman" w:hAnsi="Times New Roman"/>
          <w:color w:val="000000"/>
          <w:sz w:val="24"/>
        </w:rPr>
        <w:t>The Company shall not consolidate with or merge with or into, or convey, transfer or lease all or substantially all of its properties and assets to, any person (a “</w:t>
      </w:r>
      <w:r>
        <w:rPr>
          <w:rFonts w:ascii="Times New Roman" w:hAnsi="Times New Roman"/>
          <w:i/>
          <w:color w:val="000000"/>
          <w:sz w:val="24"/>
        </w:rPr>
        <w:t>successor person</w:t>
      </w:r>
      <w:r>
        <w:rPr>
          <w:rFonts w:ascii="Times New Roman" w:hAnsi="Times New Roman"/>
          <w:color w:val="000000"/>
          <w:sz w:val="20"/>
        </w:rPr>
        <w:t>”</w:t>
      </w:r>
      <w:r>
        <w:rPr>
          <w:rFonts w:ascii="Times New Roman" w:hAnsi="Times New Roman"/>
          <w:color w:val="000000"/>
          <w:sz w:val="24"/>
        </w:rPr>
        <w:t>) unless: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Company is the surviving entity or the successor person (if other than the Company) is a corporation, partnership, trust or other entity organized and validly existing under the laws of any U.S. domestic jurisdiction and expressly assumes by supplemental indenture the Company’s obligations on the Securities and under this Indenture;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immediately after giving effect to the transaction, no Default or Event of Default, shall have occurred and be continuing.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above, any Subsidiary of the Company may consolidate with, merge into or transfer all or part of its properties to the Company. Neither an Officer’s Certificate nor an Opinion of Counsel shall be required to be delivered in connection therewith.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5.2. Successor Corporation Substituted.</w:t>
      </w:r>
    </w:p>
    <w:p>
      <w:pPr>
        <w:pStyle w:val="TextBody"/>
        <w:bidi w:val="0"/>
        <w:spacing w:before="0" w:after="240"/>
        <w:jc w:val="both"/>
        <w:rPr>
          <w:rFonts w:ascii="Times New Roman" w:hAnsi="Times New Roman"/>
          <w:sz w:val="20"/>
        </w:rPr>
      </w:pPr>
      <w:r>
        <w:rPr>
          <w:rFonts w:ascii="Times New Roman" w:hAnsi="Times New Roman"/>
          <w:color w:val="000000"/>
          <w:sz w:val="24"/>
        </w:rPr>
        <w:t>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be substituted for, and may exercise every right and power of, the Company under this Indenture with the same effect as if such successor person has been named as the Company herein; provided, however, that the predecessor Company in the case of a sale, conveyance or other disposition (other than a lease) shall be released from all obligations and covenants under this Indenture and the Securities.</w:t>
      </w:r>
    </w:p>
    <w:p>
      <w:pPr>
        <w:pStyle w:val="TextBody"/>
        <w:bidi w:val="0"/>
        <w:jc w:val="center"/>
        <w:rPr>
          <w:rFonts w:ascii="Times New Roman" w:hAnsi="Times New Roman"/>
          <w:caps/>
          <w:color w:val="000000"/>
          <w:sz w:val="24"/>
        </w:rPr>
      </w:pPr>
      <w:r>
        <w:rPr>
          <w:rFonts w:ascii="Times New Roman" w:hAnsi="Times New Roman"/>
          <w:caps/>
          <w:color w:val="000000"/>
          <w:sz w:val="24"/>
        </w:rPr>
        <w:t>Article 6</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DEFAULTS AND REMEDIES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6.1. Events of Default.</w:t>
      </w:r>
    </w:p>
    <w:p>
      <w:pPr>
        <w:pStyle w:val="TextBody"/>
        <w:bidi w:val="0"/>
        <w:spacing w:before="0" w:after="240"/>
        <w:jc w:val="both"/>
        <w:rPr/>
      </w:pPr>
      <w:r>
        <w:rPr>
          <w:color w:val="000000"/>
        </w:rPr>
        <w:t>“</w:t>
      </w:r>
      <w:r>
        <w:rPr>
          <w:rFonts w:ascii="Times New Roman" w:hAnsi="Times New Roman"/>
          <w:i/>
          <w:color w:val="000000"/>
          <w:sz w:val="24"/>
        </w:rPr>
        <w:t>Event of Default</w:t>
      </w:r>
      <w:r>
        <w:rPr>
          <w:rFonts w:ascii="Times New Roman" w:hAnsi="Times New Roman"/>
          <w:color w:val="000000"/>
          <w:sz w:val="24"/>
        </w:rPr>
        <w: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pStyle w:val="TextBody"/>
        <w:bidi w:val="0"/>
        <w:spacing w:before="0" w:after="240"/>
        <w:jc w:val="both"/>
        <w:rPr>
          <w:rFonts w:ascii="Times New Roman" w:hAnsi="Times New Roman"/>
          <w:sz w:val="20"/>
        </w:rPr>
      </w:pPr>
      <w:r>
        <w:rPr>
          <w:rFonts w:ascii="Times New Roman" w:hAnsi="Times New Roman"/>
          <w:color w:val="000000"/>
          <w:sz w:val="24"/>
        </w:rPr>
        <w:t>(a) default in the payment of any interest on any Security of that Series when it becomes due and payable, and continuance of such default for a period of 30 days (unless the entire amount of such payment is deposited by the Company with the Trustee or with a Paying Agent prior to 11:00 a.m., New York City time, on the 30</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day of such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default in the payment of principal of any Security of that Series at its Maturity;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default in the performance or breach of any covenant or warranty of the Company in this Indenture (other than defaults pursuant to paragraph (a) or (b) above or pursuant to a covenant or warranty that has been included in this Indenture solely for the benefit of a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the Company pursuant to or within the meaning of any Bankruptcy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commences a voluntary case,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consents to the entry of an order for relief against it in an involuntary case,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consents to the appointment of a Custodian of it or for all or substantially all of its property,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makes a general assignment for the benefit of its creditors,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 generally is unable to pay its debts as the same become due;</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a court of competent jurisdiction enters an order or decree under any Bankruptcy Law 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is for relief against the Company in an involuntary case,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appoints a Custodian of the Company or for all or substantially all of its property,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orders the liquidation of the Company, and the order or decree remains unstayed and in effect for 60 days;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any other Event of Default provided with respect to Securities of that Series, which is specified in a Board Resolution, a supplemental indenture hereto or an Officer’s Certificate, in accordance with Section 2.2.18.</w:t>
      </w:r>
    </w:p>
    <w:p>
      <w:pPr>
        <w:pStyle w:val="TextBody"/>
        <w:bidi w:val="0"/>
        <w:spacing w:before="0" w:after="240"/>
        <w:jc w:val="both"/>
        <w:rPr>
          <w:rFonts w:ascii="Times New Roman" w:hAnsi="Times New Roman"/>
          <w:sz w:val="20"/>
        </w:rPr>
      </w:pPr>
      <w:r>
        <w:rPr>
          <w:rFonts w:ascii="Times New Roman" w:hAnsi="Times New Roman"/>
          <w:color w:val="000000"/>
          <w:sz w:val="24"/>
        </w:rPr>
        <w:t>The term “</w:t>
      </w:r>
      <w:r>
        <w:rPr>
          <w:rFonts w:ascii="Times New Roman" w:hAnsi="Times New Roman"/>
          <w:i/>
          <w:color w:val="000000"/>
          <w:sz w:val="24"/>
        </w:rPr>
        <w:t>Bankruptcy Law</w:t>
      </w:r>
      <w:r>
        <w:rPr>
          <w:rFonts w:ascii="Times New Roman" w:hAnsi="Times New Roman"/>
          <w:color w:val="000000"/>
          <w:sz w:val="20"/>
        </w:rPr>
        <w:t xml:space="preserve">” </w:t>
      </w:r>
      <w:r>
        <w:rPr>
          <w:rFonts w:ascii="Times New Roman" w:hAnsi="Times New Roman"/>
          <w:color w:val="000000"/>
          <w:sz w:val="24"/>
        </w:rPr>
        <w:t>means title 11, U.S. Code or any similar Federal or State law for the relief of debtors. The term “</w:t>
      </w:r>
      <w:r>
        <w:rPr>
          <w:rFonts w:ascii="Times New Roman" w:hAnsi="Times New Roman"/>
          <w:i/>
          <w:color w:val="000000"/>
          <w:sz w:val="24"/>
        </w:rPr>
        <w:t>Custodian</w:t>
      </w:r>
      <w:r>
        <w:rPr>
          <w:rFonts w:ascii="Times New Roman" w:hAnsi="Times New Roman"/>
          <w:color w:val="000000"/>
          <w:sz w:val="20"/>
        </w:rPr>
        <w:t xml:space="preserve">” </w:t>
      </w:r>
      <w:r>
        <w:rPr>
          <w:rFonts w:ascii="Times New Roman" w:hAnsi="Times New Roman"/>
          <w:color w:val="000000"/>
          <w:sz w:val="24"/>
        </w:rPr>
        <w:t>means any receiver, trustee, assignee, liquidator or similar official under any Bankruptcy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6.2. Acceleration of Maturity; Rescission and Annulment.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w:t>
      </w:r>
      <w:r>
        <w:rPr>
          <w:rFonts w:ascii="Times New Roman" w:hAnsi="Times New Roman"/>
          <w:i/>
          <w:color w:val="000000"/>
          <w:sz w:val="24"/>
        </w:rPr>
        <w:t>ipso facto</w:t>
      </w:r>
      <w:r>
        <w:rPr>
          <w:rFonts w:ascii="Times New Roman" w:hAnsi="Times New Roman"/>
          <w:color w:val="000000"/>
          <w:sz w:val="20"/>
        </w:rPr>
        <w:t xml:space="preserve"> </w:t>
      </w:r>
      <w:r>
        <w:rPr>
          <w:rFonts w:ascii="Times New Roman" w:hAnsi="Times New Roman"/>
          <w:color w:val="000000"/>
          <w:sz w:val="24"/>
        </w:rPr>
        <w:t>become and be immediately due and payable without any declaration or other act on the part of the Trustee or any Holder.</w:t>
      </w:r>
    </w:p>
    <w:p>
      <w:pPr>
        <w:pStyle w:val="TextBody"/>
        <w:bidi w:val="0"/>
        <w:jc w:val="both"/>
        <w:rPr>
          <w:rFonts w:ascii="Times New Roman" w:hAnsi="Times New Roman"/>
          <w:color w:val="000000"/>
          <w:sz w:val="24"/>
        </w:rPr>
      </w:pPr>
      <w:r>
        <w:rPr>
          <w:rFonts w:ascii="Times New Roman" w:hAnsi="Times New Roman"/>
          <w:color w:val="000000"/>
          <w:sz w:val="24"/>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25</w:t>
      </w:r>
    </w:p>
    <w:p>
      <w:pPr>
        <w:pStyle w:val="HorizontalLine"/>
        <w:pBdr>
          <w:bottom w:val="double" w:sz="2" w:space="0" w:color="808080"/>
        </w:pBdr>
        <w:bidi w:val="0"/>
        <w:spacing w:before="0" w:after="283"/>
        <w:jc w:val="left"/>
        <w:rPr/>
      </w:pPr>
      <w:r>
        <w:rPr/>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No such rescission shall affect any subsequent Default or impair any right consequent thereon.</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Section 6.3. Collection of Indebtedness and Suits for Enforcement by Trustee.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covenants that if:</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(a) default is made in the payment of any interest on any Security when such interest becomes due and payable and such default continues for a period of 30 days,</w:t>
      </w:r>
    </w:p>
    <w:p>
      <w:pPr>
        <w:pStyle w:val="TextBody"/>
        <w:bidi w:val="0"/>
        <w:spacing w:before="0" w:after="180"/>
        <w:jc w:val="both"/>
        <w:rPr>
          <w:rFonts w:ascii="Times New Roman" w:hAnsi="Times New Roman"/>
          <w:color w:val="000000"/>
          <w:sz w:val="24"/>
        </w:rPr>
      </w:pPr>
      <w:r>
        <w:rPr>
          <w:rFonts w:ascii="Times New Roman" w:hAnsi="Times New Roman"/>
          <w:color w:val="000000"/>
          <w:sz w:val="24"/>
        </w:rPr>
        <w:t>(b) default is made in the payment of principal of any Security at the Maturity thereof, or</w:t>
      </w:r>
    </w:p>
    <w:p>
      <w:pPr>
        <w:pStyle w:val="TextBody"/>
        <w:bidi w:val="0"/>
        <w:spacing w:before="0" w:after="180"/>
        <w:jc w:val="both"/>
        <w:rPr>
          <w:rFonts w:ascii="Times New Roman" w:hAnsi="Times New Roman"/>
          <w:sz w:val="20"/>
        </w:rPr>
      </w:pPr>
      <w:r>
        <w:rPr>
          <w:rFonts w:ascii="Times New Roman" w:hAnsi="Times New Roman"/>
          <w:color w:val="000000"/>
          <w:sz w:val="24"/>
        </w:rPr>
        <w:t>(c) default is made in the deposit of any sinking fund payment, if any, when and as due by the terms of a Security,</w:t>
      </w:r>
      <w:r>
        <w:rPr>
          <w:rFonts w:ascii="Times New Roman" w:hAnsi="Times New Roman"/>
          <w:color w:val="000000"/>
          <w:sz w:val="20"/>
        </w:rPr>
        <w:t xml:space="preserve"> </w:t>
      </w:r>
    </w:p>
    <w:p>
      <w:pPr>
        <w:pStyle w:val="TextBody"/>
        <w:bidi w:val="0"/>
        <w:spacing w:before="0" w:after="200"/>
        <w:jc w:val="both"/>
        <w:rPr>
          <w:rFonts w:ascii="Times New Roman" w:hAnsi="Times New Roman"/>
          <w:sz w:val="20"/>
        </w:rPr>
      </w:pPr>
      <w:r>
        <w:rPr>
          <w:rFonts w:ascii="Times New Roman" w:hAnsi="Times New Roman"/>
          <w:i/>
          <w:color w:val="000000"/>
          <w:sz w:val="24"/>
        </w:rPr>
        <w:t>then,</w:t>
      </w:r>
      <w:r>
        <w:rPr>
          <w:rFonts w:ascii="Times New Roman" w:hAnsi="Times New Roman"/>
          <w:color w:val="000000"/>
          <w:sz w:val="20"/>
        </w:rPr>
        <w:t xml:space="preserve"> </w:t>
      </w:r>
      <w:r>
        <w:rPr>
          <w:rFonts w:ascii="Times New Roman" w:hAnsi="Times New Roman"/>
          <w:color w:val="000000"/>
          <w:sz w:val="24"/>
        </w:rPr>
        <w:t>the Company will, upon demand of the Trustee, pay to it, for the benefit of the Holders of such Securities, the whole amount then due and payable 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compensation, reasonable expenses, disbursements and advances of the Trustee, its agents and counsel.</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If an Event of Default with respect to any Securities of any Series occurs and is continuing, the Trustee, subject to Article VII hereof,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Section 6.4. Trustee May File Proofs of Claim.</w:t>
      </w:r>
    </w:p>
    <w:p>
      <w:pPr>
        <w:pStyle w:val="TextBody"/>
        <w:bidi w:val="0"/>
        <w:jc w:val="both"/>
        <w:rPr>
          <w:rFonts w:ascii="Times New Roman" w:hAnsi="Times New Roman"/>
          <w:color w:val="000000"/>
          <w:sz w:val="24"/>
        </w:rPr>
      </w:pPr>
      <w:r>
        <w:rPr>
          <w:rFonts w:ascii="Times New Roman" w:hAnsi="Times New Roman"/>
          <w:color w:val="000000"/>
          <w:sz w:val="24"/>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26</w:t>
      </w:r>
    </w:p>
    <w:p>
      <w:pPr>
        <w:pStyle w:val="HorizontalLine"/>
        <w:pBdr>
          <w:bottom w:val="double" w:sz="2" w:space="0" w:color="808080"/>
        </w:pBdr>
        <w:bidi w:val="0"/>
        <w:spacing w:before="0" w:after="283"/>
        <w:jc w:val="left"/>
        <w:rPr/>
      </w:pPr>
      <w:r>
        <w:rPr/>
      </w:r>
    </w:p>
    <w:p>
      <w:pPr>
        <w:pStyle w:val="TextBody"/>
        <w:bidi w:val="0"/>
        <w:spacing w:before="240" w:after="200"/>
        <w:jc w:val="both"/>
        <w:rPr>
          <w:rFonts w:ascii="Times New Roman" w:hAnsi="Times New Roman"/>
          <w:color w:val="000000"/>
          <w:sz w:val="24"/>
        </w:rPr>
      </w:pPr>
      <w:r>
        <w:rPr>
          <w:rFonts w:ascii="Times New Roman" w:hAnsi="Times New Roman"/>
          <w:color w:val="000000"/>
          <w:sz w:val="24"/>
        </w:rPr>
        <w:t>(a) to file and prove a claim for the whole amount of principal and interest owing and unpaid in respect of the Securities and to file such other papers or documents as may be necessary or advisable in order to have the claims of the Trustee (including any claim for the compensation, reasonable expenses, disbursements and advances of the Trustee, its agents and counsel) and of the Holders allowed in such judicial proceeding, and</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(b)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reasonable expenses, disbursements and advances of the Trustee, its agents and counsel and any other amounts due the Trustee under Section 7.7.</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6.5. Trustee May Enforce Claims Without Possession of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compensation, reasonable expenses, disbursements and advances of the Trustee, its agents and counsel, be for the ratable benefit of the Holders of the Securities in respect of which such judgment has been recovered.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6.6. Application of Money Collected.</w:t>
      </w:r>
    </w:p>
    <w:p>
      <w:pPr>
        <w:pStyle w:val="TextBody"/>
        <w:bidi w:val="0"/>
        <w:jc w:val="both"/>
        <w:rPr>
          <w:rFonts w:ascii="Times New Roman" w:hAnsi="Times New Roman"/>
          <w:color w:val="000000"/>
          <w:sz w:val="24"/>
        </w:rPr>
      </w:pPr>
      <w:r>
        <w:rPr>
          <w:rFonts w:ascii="Times New Roman" w:hAnsi="Times New Roman"/>
          <w:color w:val="000000"/>
          <w:sz w:val="24"/>
        </w:rPr>
        <w:t>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42"/>
        <w:gridCol w:w="146"/>
        <w:gridCol w:w="9217"/>
      </w:tblGrid>
      <w:tr>
        <w:trPr/>
        <w:tc>
          <w:tcPr>
            <w:tcW w:w="8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17" w:type="dxa"/>
            <w:tcBorders/>
            <w:vAlign w:val="center"/>
          </w:tcPr>
          <w:p>
            <w:pPr>
              <w:pStyle w:val="TableContents"/>
              <w:bidi w:val="0"/>
              <w:spacing w:before="0" w:after="283"/>
              <w:jc w:val="left"/>
              <w:rPr>
                <w:sz w:val="4"/>
                <w:szCs w:val="4"/>
              </w:rPr>
            </w:pPr>
            <w:r>
              <w:rPr>
                <w:sz w:val="4"/>
                <w:szCs w:val="4"/>
              </w:rPr>
            </w:r>
          </w:p>
        </w:tc>
      </w:tr>
      <w:tr>
        <w:trPr/>
        <w:tc>
          <w:tcPr>
            <w:tcW w:w="8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First: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To the payment of all amounts due the Trustee under Section 7.7; and</w:t>
            </w:r>
          </w:p>
        </w:tc>
      </w:tr>
      <w:tr>
        <w:trPr/>
        <w:tc>
          <w:tcPr>
            <w:tcW w:w="8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7"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Second: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tc>
      </w:tr>
    </w:tbl>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27</w:t>
      </w:r>
    </w:p>
    <w:p>
      <w:pPr>
        <w:pStyle w:val="HorizontalLine"/>
        <w:pBdr>
          <w:bottom w:val="double" w:sz="2" w:space="0" w:color="808080"/>
        </w:pBdr>
        <w:bidi w:val="0"/>
        <w:spacing w:before="0" w:after="283"/>
        <w:jc w:val="left"/>
        <w:rPr/>
      </w:pPr>
      <w:r>
        <w:rPr/>
      </w:r>
    </w:p>
    <w:tbl>
      <w:tblPr>
        <w:tblW w:w="5548" w:type="dxa"/>
        <w:jc w:val="left"/>
        <w:tblInd w:w="0" w:type="dxa"/>
        <w:tblLayout w:type="fixed"/>
        <w:tblCellMar>
          <w:top w:w="28" w:type="dxa"/>
          <w:left w:w="28" w:type="dxa"/>
          <w:bottom w:w="28" w:type="dxa"/>
          <w:right w:w="28" w:type="dxa"/>
        </w:tblCellMar>
      </w:tblPr>
      <w:tblGrid>
        <w:gridCol w:w="706"/>
        <w:gridCol w:w="1586"/>
        <w:gridCol w:w="3256"/>
      </w:tblGrid>
      <w:tr>
        <w:trPr/>
        <w:tc>
          <w:tcPr>
            <w:tcW w:w="70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586"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Third:</w:t>
            </w:r>
          </w:p>
        </w:tc>
        <w:tc>
          <w:tcPr>
            <w:tcW w:w="1586" w:type="dxa"/>
            <w:tcBorders/>
            <w:tcMar>
              <w:top w:w="0" w:type="dxa"/>
              <w:left w:w="0" w:type="dxa"/>
              <w:bottom w:w="0" w:type="dxa"/>
              <w:right w:w="0" w:type="dxa"/>
            </w:tcMar>
            <w:vAlign w:val="center"/>
          </w:tcPr>
          <w:p>
            <w:pPr>
              <w:pStyle w:val="TableContents"/>
              <w:bidi w:val="0"/>
              <w:spacing w:before="0" w:after="283"/>
              <w:ind w:left="0" w:right="0" w:firstLine="1440"/>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4"/>
              </w:rPr>
            </w:pPr>
            <w:r>
              <w:rPr>
                <w:rFonts w:ascii="Times New Roman" w:hAnsi="Times New Roman"/>
                <w:color w:val="000000"/>
                <w:sz w:val="24"/>
              </w:rPr>
              <w:t>To the Company.</w:t>
            </w:r>
          </w:p>
        </w:tc>
      </w:tr>
    </w:tbl>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6.7. Limitation on Suits.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Holder of any Security of any Series shall have any right to institute any proceeding, judicial or otherwise, with respect to this Indenture, or for the appointment of a receiver or trustee, or for any other remedy hereunder, unless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such Holder has previously given written notice to the Trustee of a continuing Event of Default with respect to the Securities of that Series;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Holders of not less than 25% in principal amount of the outstanding Securities of that Series shall have made written request to the Trustee to institute proceedings in respect of such Event of Default in its own name as Trustee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such Holder or Holders have offered to the Trustee indemnity or security satisfactory to the Trustee against the costs, expenses and liabilities which might be incurred by the Trustee in compliance with such request;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the Trustee for 60 days after its receipt of such notice, request and offer of indemnity has failed to institute any such proceeding;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no direction inconsistent with such written request has been given to the Trustee during such 60-day period by the Holders of a majority in principal amount of the outstanding Securities of that Series;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6.8. Unconditional Right of Holders to Receive Principal and Interest.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 other provision in this Indenture, the Holder of any Security shall have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28</w:t>
      </w:r>
    </w:p>
    <w:p>
      <w:pPr>
        <w:pStyle w:val="HorizontalLine"/>
        <w:pBdr>
          <w:bottom w:val="double" w:sz="2" w:space="0" w:color="808080"/>
        </w:pBdr>
        <w:bidi w:val="0"/>
        <w:spacing w:before="0" w:after="283"/>
        <w:jc w:val="left"/>
        <w:rPr/>
      </w:pPr>
      <w:r>
        <w:rPr/>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Section 6.9. Restoration of Rights and Remedies.</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Section 6.10. Rights and Remedies Cumulative.</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Section 6.11. Delay or Omission Not Waiver.</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Section 6.12. Control by Holders.</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(a) such direction shall not be in conflict with any rule of law or with this Indenture,</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(b) the Trustee may take any other action deemed proper by the Trustee which is not inconsistent with such direction,</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(c) subject to the provisions of Section 7.1, the Trustee shall have the right to decline to follow any such direction if the Trustee in good faith shall, by a Responsible Officer of the Trustee, determine that the proceeding so directed would involve the Trustee in personal liability, and</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29</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prior to taking any action as directed under this Section 6.12, the Trustee shall be entitled to indemnity satisfactory to it against the costs, expenses and liabilities which might be incurred by it in compliance with such request or direction.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6.13. Waiver of Past Defaults.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Holders of not less than a majority in principal amount of the outstanding Securities of any Series may on behalf of the Holders of all the Securities of such Series, by written notice to the Trustee and the Company,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6.14. Undertaking for Costs.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w:t>
      </w:r>
    </w:p>
    <w:p>
      <w:pPr>
        <w:pStyle w:val="TextBody"/>
        <w:bidi w:val="0"/>
        <w:jc w:val="center"/>
        <w:rPr>
          <w:rFonts w:ascii="Times New Roman" w:hAnsi="Times New Roman"/>
          <w:caps/>
          <w:color w:val="000000"/>
          <w:sz w:val="24"/>
        </w:rPr>
      </w:pPr>
      <w:r>
        <w:rPr>
          <w:rFonts w:ascii="Times New Roman" w:hAnsi="Times New Roman"/>
          <w:caps/>
          <w:color w:val="000000"/>
          <w:sz w:val="24"/>
        </w:rPr>
        <w:t>Article 7</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TRUSTEE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7.1. Duties of Trustee.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Except during the continuance of an Event of Default:</w:t>
      </w:r>
    </w:p>
    <w:p>
      <w:pPr>
        <w:pStyle w:val="TextBody"/>
        <w:bidi w:val="0"/>
        <w:jc w:val="both"/>
        <w:rPr>
          <w:rFonts w:ascii="Times New Roman" w:hAnsi="Times New Roman"/>
          <w:color w:val="000000"/>
          <w:sz w:val="24"/>
        </w:rPr>
      </w:pPr>
      <w:r>
        <w:rPr>
          <w:rFonts w:ascii="Times New Roman" w:hAnsi="Times New Roman"/>
          <w:color w:val="000000"/>
          <w:sz w:val="24"/>
        </w:rPr>
        <w:t>(i) The Trustee need perform only those duties that are specifically set forth in this Indenture and no others, and no implied covenants or obligations will be read into this Indenture against the Trustee.</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30</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however,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form requirements of this Indenture.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The Trustee may not be relieved from liability for its own negligent action, its own negligent failure to act or its own willful misconduct, except 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This paragraph does not limit the effect of paragraph (b) of this Section.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The Trustee shall not be liable for any error of judgment made in good faith by a Responsible Officer, unless it is proved that the Trustee was negligent in ascertaining the pertinent facts.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 Section 6.12.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Every provision of this Indenture that in any way relates to the Trustee is subject to paragraph (a), (b) and (c) of this Section.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The Trustee may refuse to perform any duty or exercise any right or power unless it receives indemnity satisfactory to it against the costs, expenses and liabilities which might be incurred by it in performing such duty or exercising such right or power.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The Trustee shall not be liable for interest on any money received by it except as the Trustee may agree in writing with the Company. Money held in trust by the Trustee need not be segregated from other funds except to the extent required by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No provision of this Indenture shall require the Trustee to risk its own funds or otherwise incur any financial liability in the performance of any of its duties or in the exercise of any of its rights or powers, if adequate indemnity against such risk is not assured to the Trustee in its satisfaction.</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31</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The Paying Agent, the Notice Agent, the Registrar, any authenticating agent and the Trustee when acting in any other capacity hereunder shall be entitled to the protections and immunities as are set forth in this Article 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The rights, privileges, protections, immunities and benefits given to the Trustee, including its right to be indemnified, are extended to, and will be enforceable by, the Trustee in each of its capacities under this Indenture.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7.2. Rights of Trustee.</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(a) The Trustee may rely on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(b) 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(c) The Trustee may act through agents and shall not be responsible for the misconduct or negligence of any agent appointed with due care. No Depositary shall be deemed an agent of the Trustee, and the Trustee shall not be responsible for any act or omission by any Depositary.</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(d) The Trustee shall not be liable for any action it takes or omits to take in good faith which it believes to be authorized or within its rights or powers.</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(e) The Trustee may consult with counsel and the advice of such counsel or any Opinion of Counsel shall be full and complete authorization and protection in respect of any action taken, suffered or omitted by it hereunder in good faith and in reliance thereon.</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(f) The Trustee shall be under no obligation to exercise any of the rights or powers vested in it by this Indenture at the request or direction of any of the Holders of Securities unless such Holders shall have offered to the Trustee security or indemnity satisfactory to it against the costs, expenses and liabilities which might be incurred by it in compliance with such request or direction.</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(g) 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(h) The Trustee shall not be deemed to have notice of any Default or Event of Default unless a Responsible Officer of the Trustee has actual knowledge thereof or unless written notice of any event which is in fact such a default is received by a Responsible Officer at the Corporate Trust Office of the Trustee, and such notice references the Securities generally or the Securities of a particular Series and this Indenture.</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32</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In no event shall the Trustee be liable to any person for special, punitive, indirect, consequential or incidental loss or damage of any kind whatsoever (including but not limited to lost profits), even if the Trustee has been advised of the likelihood of such loss or damage.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 The permissive right of the Trustee to take the actions permitted by this Indenture shall not be construed as an obligation or duty to do so.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 The Trustee will not be required to give any bond or surety in respect of the execution of this Indenture or otherwise.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7.3. Individual Rights of Trustee.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7.4. Trustee’s Disclaimer.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Trustee makes no representation as to the validity or adequacy of this Indenture or the Securities. The Trustee shall not be accountable for the Company’s use of the proceeds from the Securities and shall not be responsible for any statement in the Securities other than its certificate of authentication.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7.5. Notice of Defaults.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 Default or Event of Default occurs and is continuing with respect to the Securities of any Series and if it is known to a Responsible Officer of the Trustee, the Trustee shall send to each 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its corporate trust committee or a committee of its Responsible Officers in good faith determines that withholding the notice is in the interests of Holders of that Series. The Trustee will not be deemed to have notice or be charged with knowledge of any Default or Event of Default unless written notice thereof has been received by a Responsible Officer, and such notice references the applicable Series of Securities and this Indenture and states on its face that a Default or Event of Default has occurred.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7.6. Reports by Trustee to Holders.</w:t>
      </w:r>
    </w:p>
    <w:p>
      <w:pPr>
        <w:pStyle w:val="TextBody"/>
        <w:bidi w:val="0"/>
        <w:jc w:val="both"/>
        <w:rPr>
          <w:rFonts w:ascii="Times New Roman" w:hAnsi="Times New Roman"/>
          <w:color w:val="000000"/>
          <w:sz w:val="24"/>
        </w:rPr>
      </w:pPr>
      <w:r>
        <w:rPr>
          <w:rFonts w:ascii="Times New Roman" w:hAnsi="Times New Roman"/>
          <w:color w:val="000000"/>
          <w:sz w:val="24"/>
        </w:rPr>
        <w:t>Within 60 days after each anniversary of the date of this Indenture, the Trustee shall transmit by mail to all Holders, as their names and addresses appear on the register kept by the Registrar, a brief report dated as of such anniversary date, in accordance with, and to the extent required under, TIA § 313.</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33</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copy of each report at the time of its mailing to Holders of any Series shall be filed with the SEC and each national securities exchange on which the Securities of that Series are listed. The Company shall promptly notify the Trustee in writing when Securities of any Series are listed on any national securities exchange.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7.7. Compensation and Indemnity.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shall indemnify each of the Trustee and any predecessor Trustee (including for the cost of defending itself) against any cost, expense or liability, including taxes (other than taxes based upon, measured by or determined by the income of the Trustee) incurred by it except as set forth in the next paragraph in the performance of its duties under this Indenture as Trustee or Agent. The Trustee shall notify the Company promptly of any claim for which it 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need not reimburse any expense or indemnify against any loss or liability incurred by the Trustee or by any officer, director, employee, shareholder or agent of the Trustee through willful misconduct or negligence, as determined by a final decision of a court of competent jurisdiction.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When the Trustee incurs expenses or renders services after an Event of Default specified in Section 6.1(d) or (e) occurs, the expenses and the compensation for the services are intended to constitute expenses of administration under any Bankruptcy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provisions of this Section shall survive the termination of this Indenture and the resignation or removal of the Trustee.</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34</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7.8. Replacement of Trustee.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resignation or removal of the Trustee and appointment of a successor Trustee shall become effective only upon the successor Trustee’s acceptance of appointment as provided in this Section.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The Company may remove the Trustee with respect to Securities of one or more Series if: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Trustee fails to comply with Section 7.10;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Trustee is adjudged a bankrupt or an insolvent or an order for relief is entered with respect to the Trustee under any Bankruptcy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a Custodian or public officer takes charge of the Trustee or its property;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the Trustee becomes incapable of acting.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send a notice of its succession to each Holder of each such Series. Notwithstanding replacement of the Trustee pursuant to this Section 7.8, the Company’s obligations under Section 7.7 hereof shall continue for the benefit of the retiring Trustee with respect to expenses and liabilities incurred by it for actions taken or omitted to be taken in accordance with its rights, powers and duties under this Indenture prior to such replacement.</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35</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7.9. Successor Trustee by Merger, Etc.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organization or entity into which the Trustee may be merged or converted or with which it may be consolidated, or any organization or entity resulting from any merger, conversion or consolidation to which the Trustee shall be a party, or any organization or entity succeeding to all or substantially all of the corporate trust business of the Trustee, shall be the successor of the Trustee hereunder, provided such organization or entity shall be otherwise qualified and eligible under Section 7.10, without the execution or filing of any paper or any further act on the part of any of the parties 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7.10. Eligibility; Disqualification.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Indenture shall always have a Trustee who satisfies the requirements of TIA § 310(a)(1), (2) and (5). The Trustee shall always have a combined capital and surplus of at least $25,000,000 as set forth in its most recent published annual report of condition. The Trustee shall comply with TIA § 310(b).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7.11. Preferential Collection of Claims Against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Trustee is subject to TIA § 311(a), excluding any creditor relationship listed in TIA § 311(b). A Trustee who has resigned or been removed shall be subject to TIA § 311(a) to the extent indicated.</w:t>
      </w:r>
    </w:p>
    <w:p>
      <w:pPr>
        <w:pStyle w:val="TextBody"/>
        <w:bidi w:val="0"/>
        <w:jc w:val="center"/>
        <w:rPr>
          <w:rFonts w:ascii="Times New Roman" w:hAnsi="Times New Roman"/>
          <w:sz w:val="20"/>
        </w:rPr>
      </w:pPr>
      <w:r>
        <w:rPr>
          <w:rFonts w:ascii="Times New Roman" w:hAnsi="Times New Roman"/>
          <w:caps/>
          <w:color w:val="000000"/>
          <w:sz w:val="24"/>
        </w:rPr>
        <w:t>Article</w:t>
      </w:r>
      <w:r>
        <w:rPr>
          <w:rFonts w:ascii="Times New Roman" w:hAnsi="Times New Roman"/>
          <w:color w:val="000000"/>
          <w:sz w:val="20"/>
        </w:rPr>
        <w:t xml:space="preserve"> </w:t>
      </w:r>
      <w:r>
        <w:rPr>
          <w:rFonts w:ascii="Times New Roman" w:hAnsi="Times New Roman"/>
          <w:color w:val="000000"/>
          <w:sz w:val="24"/>
        </w:rPr>
        <w:t>8</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SATISFACTION AND DISCHARGE; DEFEASANCE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8.1. Satisfaction and Discharge of Indenture.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Indenture shall upon Company Order be discharged with respect to the Securities of any Series and cease to be of further effect as to all Securities of such Series (except as hereinafter provided in this Section 8.1), and the Trustee, at the expense of the Company, shall execute instruments acknowledging satisfaction and discharge of this Indenture, when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either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all Securities of such Series theretofore authenticated and delivered (other than Securities that have been destroyed, lost or stolen and that have been replaced or paid) have been delivered to the Trustee for cancellation;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all such Securities of such Series not theretofore delivered to the Trustee for cancellation: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 have become due and payable by reason of sending a notice of redemption or otherwise,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 will become due and payable at their Stated Maturity within one year,</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36</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 have been called for redemption or are to be called for redemption within one year under arrangements satisfactory to the Trustee for the giving of notice of redemption by the Trustee in the name, and at the expense, of the Company,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 are deemed paid and discharged pursuant to Section 8.3, as applicable;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and the Company, in the case of (1), (2) or (3) above, has irrevocably deposited or caused to be deposited with the Trustee as trust funds in trust an amount of money or U.S. Government Obligations, which amount shall be sufficient for the purpose of paying and discharging each installment of principal (including mandatory sinking fund payments or analogous payments) of and interest on all the Securities of such Series on the dates such installments of principal or interest are due;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Company has paid or caused to be paid all other sums payable hereunder by the Company;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the Company has delivered to the Trustee an Officer’s Certificate and an Opinion of Counsel, each stating that all conditions precedent provided for relating to the satisfaction and discharge contemplated by this Section have been complied with.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satisfaction and discharge of this Indenture, (x) the obligations of the Company to the Trustee under Section 7.7, (y) if money shall have been deposited with the Trustee pursuant to clause (a) of this Section, the provisions of Sections 2.4, 2.7, 2.8, 8.2 and 8.5, and (z) the rights, powers, trusts and immunities of the Trustee hereunder and the Company’s obligations in connection therewith shall survive.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8.2. Application of Trust Funds; Indemnification.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Subject to the provisions of Section 8.5, all money and U.S. Government Obligations or Foreign Government Obligations deposited with the Trustee pursuant to Section 8.1, 8.3 or 8.4 and all money received by the Trustee in respect of U.S. Government Obligations or Foreign Government Obligations deposited with the Trustee pursuant to Section 8.1,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8.1, 8.3 or 8.4.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Company shall pay and shall indemnify the Trustee (which indemnity shall survive termination of this Indenture) against any tax, fee or other charge imposed on or assessed against U.S. Government Obligations or Foreign Government Obligations deposited pursuant to Sections 8.1, 8.3 or 8.4 or the interest and principal received in respect of such obligations other than any payable by or on behalf of Holders.</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37</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The Trustee shall deliver or pay to the Company from time to time upon Company Order any U.S. Government Obligations or Foreign Government Obligations or money held by it as provided in Sections 8.3 or 8.4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8.3. Legal Defeasance of Securities of any Series.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Unless this Section 8.3 is otherwise specified, pursuant to Section 2.2,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upon receipt of a Company Order, execute instruments acknowledging the same), except as 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rights of Holders of Securities of such Series to receive, from the trust funds described in subparagraph (d) hereof, (i) payment of the principal of and each 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provisions of Sections 2.4, 2.5, 2.7, 2.8, 7.7, 8.2, 8.3, 8.5 and 8.6;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the rights, powers, trusts and immunities of the Trustee hereunder and the Company’s obligations in connection therewith;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provided that, the following conditions shall have been satisfied:</w:t>
      </w:r>
    </w:p>
    <w:p>
      <w:pPr>
        <w:pStyle w:val="TextBody"/>
        <w:bidi w:val="0"/>
        <w:spacing w:before="0" w:after="240"/>
        <w:jc w:val="both"/>
        <w:rPr>
          <w:rFonts w:ascii="Times New Roman" w:hAnsi="Times New Roman"/>
          <w:sz w:val="20"/>
        </w:rPr>
      </w:pPr>
      <w:r>
        <w:rPr>
          <w:rFonts w:ascii="Times New Roman" w:hAnsi="Times New Roman"/>
          <w:color w:val="000000"/>
          <w:sz w:val="24"/>
        </w:rPr>
        <w:t>(d) the Company shall have irrevocably deposited or caused to be deposited (except as provided in Section 8.2(c)) with the Trustee as trust funds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on and any mandatory sinking fund payments in respect of</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38</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the Securities of such Series on the dates such installments of principal or interest and such sinking fund payments are due;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such deposit will not result in a breach or violation of, or constitute a default under, this Indenture or any other agreement or instrument to which the Company is a party or by which it is bound;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no Default or Event of Default with respect to the Securities of such Series shall have occurred and be continuing on the date of such deposit or during the period ending on the 91st day after such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the Company shall have delivered to the Trustee an Officer’s Certificate stating that the deposit was not made by the Company with the intent of defeating, hindering, delaying or defrauding any other creditors of the Company;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the Company shall have delivered to the Trustee an Officer’s Certificate and an Opinion of Counsel, each stating that all conditions precedent provided for relating to the defeasance contemplated by this Section have been complied with.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8.4. Covenant Defeasance.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Unless this Section 8.4 is otherwise specified pursuant to Section 2.2 to be inapplicable to Securities of any Series, the Company may omit to comply with respect to the Securities of any Series with any term, provision or condition set forth under Sections 4.2, 4.3, 4.4 and 5.1 and, unless otherwise specified therein, any additional covenants specified in a supplemental indenture for such Series of Securities or a Board Resolution or an Officer’s Certificate delivered pursuant to Section 2.2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 and designated as an Event of Default shall not constitute a Default or Event of Default hereunder, with respect to the Securities of such Series, but, except as specified above, the remainder of this Indenture and such Securities will be unaffected thereby; provided that the following conditions shall have been satisfied:</w:t>
      </w:r>
    </w:p>
    <w:p>
      <w:pPr>
        <w:pStyle w:val="TextBody"/>
        <w:bidi w:val="0"/>
        <w:spacing w:before="0" w:after="240"/>
        <w:jc w:val="both"/>
        <w:rPr>
          <w:rFonts w:ascii="Times New Roman" w:hAnsi="Times New Roman"/>
          <w:sz w:val="20"/>
        </w:rPr>
      </w:pPr>
      <w:r>
        <w:rPr>
          <w:rFonts w:ascii="Times New Roman" w:hAnsi="Times New Roman"/>
          <w:color w:val="000000"/>
          <w:sz w:val="24"/>
        </w:rPr>
        <w:t>(a) with reference to this Section 8.4, the Company has irrevocably deposited or caused to be irrevocably deposited (except as provided in Section 8.2(c)) with the Trustee as trust funds in trust for the purpose of making the following payments specifically pledged as security</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39</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(including mandatory sinking fund payments or analogous payments) of and interest on all the Securities of such Series on the dates such installments of principal or interest are due;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such deposit will not result in a breach or violation of, or constitute a default under, this Indenture or any other agreement or instrument to which the Company is a party or by which it is bound;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no Default or Event of Default with respect to the Securities of such Series shall have occurred and be continuing on the date of such deposit;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the Company shall have delivered to the Trustee an Officer’s Certificate and an Opinion of Counsel to the effect that the Holders of the Securities of such Series will not recognize income, gain or loss for Federal income tax purposes as a result of such deposit and covenant defeasance and will be subject to Federal income tax on the same amount and in the same manner and at the same times as would have been the case if such deposit and covenant defeasance had not occurred;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The Company shall have delivered to the Trustee an Officer’s Certificate stating the deposit was not made by the Company with the intent of defeating, hindering, delaying or defrauding any other creditors of the Company;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The Company shall have delivered to the Trustee an Officer’s Certificate and an Opinion of Counsel, each stating that all conditions precedent herein provided for relating to the covenant defeasance contemplated by this Section have been complied with.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8.5. Repayment to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Subject to applicable abandoned property law, the Trustee and the Paying Agent shall pay to the Company upon request any money held by them for the payment of principal and interest that remains unclaimed for two years. After that, Holders entitled to the money must look to the Company for payment as general creditors unless an applicable abandoned property law designates another person.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8.6. Reinstatement.</w:t>
      </w:r>
    </w:p>
    <w:p>
      <w:pPr>
        <w:pStyle w:val="TextBody"/>
        <w:bidi w:val="0"/>
        <w:spacing w:before="0" w:after="240"/>
        <w:jc w:val="both"/>
        <w:rPr>
          <w:rFonts w:ascii="Times New Roman" w:hAnsi="Times New Roman"/>
          <w:sz w:val="20"/>
        </w:rPr>
      </w:pPr>
      <w:r>
        <w:rPr>
          <w:rFonts w:ascii="Times New Roman" w:hAnsi="Times New Roman"/>
          <w:color w:val="000000"/>
          <w:sz w:val="24"/>
        </w:rPr>
        <w:t>If the Trustee or the Paying Agent is unable to apply any money deposited with respect to Securities of any Series in accordance with Section 8.1 by reason of any legal proceeding or by reason of any order or judgment of any court or governmental authority enjoining, restraining</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40</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provided, however, that if the Company has made any payment of principal of or interest on or any Additional Amounts with respect to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w:t>
      </w:r>
    </w:p>
    <w:p>
      <w:pPr>
        <w:pStyle w:val="TextBody"/>
        <w:bidi w:val="0"/>
        <w:jc w:val="center"/>
        <w:rPr>
          <w:rFonts w:ascii="Times New Roman" w:hAnsi="Times New Roman"/>
          <w:caps/>
          <w:color w:val="000000"/>
          <w:sz w:val="24"/>
        </w:rPr>
      </w:pPr>
      <w:r>
        <w:rPr>
          <w:rFonts w:ascii="Times New Roman" w:hAnsi="Times New Roman"/>
          <w:caps/>
          <w:color w:val="000000"/>
          <w:sz w:val="24"/>
        </w:rPr>
        <w:t>Article 9</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AMENDMENTS AND WAIVERS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9.1. Without Consent of Holders.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and the Trustee may amend or supplement this Indenture or the Securities of one or more Series without the consent of any Holder: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to cure any ambiguity, defect or inconsistency;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to comply with Article 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to provide for uncertificated Securities in addition to or in place of certificated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to add guarantees with respect to Securities of any Series or secure Securities of any Series;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to surrender any of the Company’s rights or powers under this Indenture;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to add covenants or events of default for the benefit of the holders of Securities of any Series;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to comply with the applicable procedures of the applicable depositary;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to make any change that does not adversely affect the rights of any Holder;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to provide for the issuance of and establish the form and terms and conditions of Securities of any Series as permitted by this Indenture;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 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 to comply with requirements of the SEC in order to effect or maintain the qualification of this Indenture under the TIA.</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41</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9.2. With Consent of Holders.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Subject to Section 9.3, the Company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Holders of each such Series. Except as provided in Section 6.13, and subject to Section 9.3, the Holders of at least a majority in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send to the Holders of Securities affected thereby, a notice briefly describing the supplemental indenture or waiver. Any failure by the Company to send such notice, or any defect therein, shall not, however, in any way impair or affect the validity of any such supplemental indenture or waiver.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9.3. Limitations.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Without the consent of each Holder affected, an amendment or waiver may not: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reduce the principal amount of Securities whose Holders must consent to an amendment, supplement or waiver;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reduce the rate of or extend the time for payment of interest (including default interest) on any Security;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reduce the principal or change the Stated Maturity of any Security or reduce the amount of, or postpone the date fixed for, the payment of any sinking fund or analogous obligation;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reduce the principal amount of Discount Securities payable upon acceleration of the maturity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make the principal of or interest, if any, on any Security payable in any currency other than that stated in the Security;</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42</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make any change in Sections 6.8, 6.13 or 9.3 (this sentence);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waive a redemption payment with respect to any Security, provided that such redemption is made at the Company’s option.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9.4. Compliance with Trust Indenture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Every amendment to this Indenture or the Securities of one or more Series shall be set forth in a supplemental indenture hereto that complies with the TIA as then in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9.5. Revocation and Effect of Consents.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amendment or waiver once effective shall bind every 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second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9.6. Notation on or Exchange of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or the Trustee may, but shall not be obligated to, place an appropriate notation about an amendment or waiver on any Security of any Series thereafter authenticated. The Company in exchange for Securities of that Series may issue and the Trustee shall authenticate upon receipt of a Company Order in accordance with Section 2.3 new Securities of that Series that reflect the amendment or waiver.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9.7. Trustee Protected.</w:t>
      </w:r>
    </w:p>
    <w:p>
      <w:pPr>
        <w:pStyle w:val="TextBody"/>
        <w:bidi w:val="0"/>
        <w:spacing w:before="0" w:after="240"/>
        <w:jc w:val="both"/>
        <w:rPr>
          <w:rFonts w:ascii="Times New Roman" w:hAnsi="Times New Roman"/>
          <w:sz w:val="20"/>
        </w:rPr>
      </w:pPr>
      <w:r>
        <w:rPr>
          <w:rFonts w:ascii="Times New Roman" w:hAnsi="Times New Roman"/>
          <w:color w:val="000000"/>
          <w:sz w:val="24"/>
        </w:rPr>
        <w:t>In executing, or accepting the additional trusts created by, any supplemental indenture permitted by this Article or the modifications thereby of the trusts created by this Indenture, the Trustee shall be entitled to receive, upon request, an Officer’s Certificate and/or an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43</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Opinion of Counsel complying with Sections 10.4 and 10.5 and (subject to Section 7.1) shall be fully protected in relying upon such Officer’s Certificate and/or Opinion of Counsel. The Trustee shall sign all supplemental indentures upon delivery of such an Officer’s Certificate or Opinion of Counsel or both, except that the Trustee need not sign any supplemental indenture that adversely affects its rights, duties, liabilities or immunities under this Indenture.</w:t>
      </w:r>
    </w:p>
    <w:p>
      <w:pPr>
        <w:pStyle w:val="TextBody"/>
        <w:bidi w:val="0"/>
        <w:spacing w:before="0" w:after="240"/>
        <w:jc w:val="center"/>
        <w:rPr>
          <w:rFonts w:ascii="Times New Roman" w:hAnsi="Times New Roman"/>
          <w:sz w:val="20"/>
        </w:rPr>
      </w:pPr>
      <w:r>
        <w:rPr>
          <w:rFonts w:ascii="Times New Roman" w:hAnsi="Times New Roman"/>
          <w:caps/>
          <w:color w:val="000000"/>
          <w:sz w:val="24"/>
        </w:rPr>
        <w:t>Article 10</w:t>
      </w:r>
      <w:r>
        <w:rPr>
          <w:rFonts w:ascii="Times New Roman" w:hAnsi="Times New Roman"/>
          <w:color w:val="000000"/>
          <w:sz w:val="24"/>
        </w:rPr>
        <w:br/>
        <w:t>MISCELLANEOUS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10.1. Trust Indenture Act Controls.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any provision of this Indenture limits, qualifies or conflicts with another provision which is required or deemed to be included in this Indenture by the TIA, such required or deemed provision shall control.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10.2. Notices.</w:t>
      </w:r>
    </w:p>
    <w:p>
      <w:pPr>
        <w:pStyle w:val="TextBody"/>
        <w:bidi w:val="0"/>
        <w:jc w:val="both"/>
        <w:rPr>
          <w:rFonts w:ascii="Times New Roman" w:hAnsi="Times New Roman"/>
          <w:color w:val="000000"/>
          <w:sz w:val="24"/>
        </w:rPr>
      </w:pPr>
      <w:r>
        <w:rPr>
          <w:rFonts w:ascii="Times New Roman" w:hAnsi="Times New Roman"/>
          <w:color w:val="000000"/>
          <w:sz w:val="24"/>
        </w:rPr>
        <w:t>Any notice or communication by the Company or the Trustee to the other, or by a Holder to the Company or the Trustee, is duly given if in writing and delivered in person or mailed by first</w:t>
        <w:noBreakHyphen/>
        <w:t>class mail (registered or certified, return receipt requested), email or overnight air courier guaranteeing next day delivery, to the others’ address:</w:t>
      </w:r>
    </w:p>
    <w:p>
      <w:pPr>
        <w:pStyle w:val="TextBody"/>
        <w:bidi w:val="0"/>
        <w:jc w:val="both"/>
        <w:rPr/>
      </w:pPr>
      <w:r>
        <w:rPr/>
        <w:t> </w:t>
      </w:r>
    </w:p>
    <w:tbl>
      <w:tblPr>
        <w:tblW w:w="4677" w:type="dxa"/>
        <w:jc w:val="left"/>
        <w:tblInd w:w="0" w:type="dxa"/>
        <w:tblLayout w:type="fixed"/>
        <w:tblCellMar>
          <w:top w:w="28" w:type="dxa"/>
          <w:left w:w="28" w:type="dxa"/>
          <w:bottom w:w="28" w:type="dxa"/>
          <w:right w:w="28" w:type="dxa"/>
        </w:tblCellMar>
      </w:tblPr>
      <w:tblGrid>
        <w:gridCol w:w="161"/>
        <w:gridCol w:w="4516"/>
      </w:tblGrid>
      <w:tr>
        <w:trPr/>
        <w:tc>
          <w:tcPr>
            <w:tcW w:w="161" w:type="dxa"/>
            <w:tcBorders/>
            <w:vAlign w:val="center"/>
          </w:tcPr>
          <w:p>
            <w:pPr>
              <w:pStyle w:val="TableContents"/>
              <w:bidi w:val="0"/>
              <w:spacing w:before="0" w:after="283"/>
              <w:jc w:val="left"/>
              <w:rPr>
                <w:sz w:val="4"/>
                <w:szCs w:val="4"/>
              </w:rPr>
            </w:pPr>
            <w:r>
              <w:rPr>
                <w:sz w:val="4"/>
                <w:szCs w:val="4"/>
              </w:rPr>
            </w:r>
          </w:p>
        </w:tc>
        <w:tc>
          <w:tcPr>
            <w:tcW w:w="4516" w:type="dxa"/>
            <w:tcBorders/>
            <w:vAlign w:val="center"/>
          </w:tcPr>
          <w:p>
            <w:pPr>
              <w:pStyle w:val="TableContents"/>
              <w:bidi w:val="0"/>
              <w:spacing w:before="0" w:after="283"/>
              <w:jc w:val="left"/>
              <w:rPr>
                <w:sz w:val="4"/>
                <w:szCs w:val="4"/>
              </w:rPr>
            </w:pPr>
            <w:r>
              <w:rPr>
                <w:sz w:val="4"/>
                <w:szCs w:val="4"/>
              </w:rPr>
            </w:r>
          </w:p>
        </w:tc>
      </w:tr>
      <w:tr>
        <w:trPr/>
        <w:tc>
          <w:tcPr>
            <w:tcW w:w="467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if to the Company: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Carlsmed,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1800 Aston Ave., Suite 100</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Carlsbad, CA 92008</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Attention: Jen Kamocsay, Chief Legal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Telephone: (760) 766-1923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67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if to the Trustee: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[___]</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[_____]</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Attention: [____]</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Telephone: [____]</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67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with a copy to:</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[_____]</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Attention: [____]</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Telephone: [____]</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or the Trustee by notice to the other may designate additional or different addresses for subsequent notices or communications.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notice or communication to a Holder shall be sent electronically or by first-class mail or overnight air courier to his, her or its address shown on the register kept by the Registrar, in accordance with the procedures of the Depositary. Failure to send a notice or communication to a Holder of any Series or any defect in it shall not affect its sufficiency with respect to other Holders of that or any other Series.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 notice or communication is sent or published in the manner provided above, within the time prescribed, it is duly given, whether or not the Holder receives it.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Company sends a notice or communication to Holders, it shall send a copy to the Trustee and each Agent at the same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Trustee shall not have any duty to confirm that the person sending any notice, instruction or other communication by electronic transmission (including by e-mail, facsimile transmission, web portal or other electronic methods) is, in fact, a person authorized to do so. Electronic signatures believed by the Trustee to comply with the ESIGN Act of 2000 or other applicable law (including electronic images of handwritten signatures and digital signatures provided by DocuSign, Orbit, Adobe Sign or any other digital signature provider acceptable to the Trustee) shall be deemed original signatures for all purposes. The Company assumes all risks arising out of the use of electronic signatures and electronic methods to send communications to the Trustee, including without limitation the risk of the Trustee acting on an unauthorized communication, and the risk of interception or misuse by third parties.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10.3. Communication by Holders with Other Holders.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Holders of any Series may communicate pursuant to TIA § 312(b) with other Holders of that Series or any other Series with respect to their rights under this Indenture or the Securities of that Series or all Series. The Company, the Trustee, the Registrar and anyone else shall have the protection of TIA § 312(c).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10.4. Certificate and Opinion as to Conditions Precedent.</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45</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any request or application by the Company to the Trustee to take any action under this Indenture, the Company shall furnish to the Trustee: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an Officer’s Certificate stating that, in the opinion of the signers, all conditions precedent, if any, provided for in this Indenture relating to the proposed action have been complied with;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an Opinion of Counsel stating that, in the opinion of such counsel, all such conditions precedent have been complied with.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10.5. Statements Required in Certificate or Opinion.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certificate or opinion with respect to compliance with a condition or covenant provided for in this Indenture (other than a certificate provided pursuant to TIA § 314(a)(4)) shall comply with the provisions of TIA § 314(e) and shall include: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a statement that the person making such certificate or opinion has read such covenant or condition;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a brief statement as to the nature and scope of the examination or investigation upon which the statements or opinions contained in such certificate or opinion are based;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a statement that, in the opinion of such person, such person has made such examination or investigation as is necessary to enable such person to express an informed opinion as to whether or not such covenant or condition has been complied with;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a statement as to whether or not, in the opinion of such person, such condition or covenant has been complied with.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10.6. Rules by Trustee and Agents.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Trustee may make reasonable rules for action by or a meeting of Holders of one or more Series. Any Agent may make reasonable rules and set reasonable requirements for its functions.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10.7. Legal Holidays.</w:t>
      </w:r>
    </w:p>
    <w:p>
      <w:pPr>
        <w:pStyle w:val="TextBody"/>
        <w:bidi w:val="0"/>
        <w:spacing w:before="0" w:after="240"/>
        <w:jc w:val="both"/>
        <w:rPr>
          <w:rFonts w:ascii="Times New Roman" w:hAnsi="Times New Roman"/>
          <w:sz w:val="20"/>
        </w:rPr>
      </w:pPr>
      <w:r>
        <w:rPr>
          <w:rFonts w:ascii="Times New Roman" w:hAnsi="Times New Roman"/>
          <w:color w:val="000000"/>
          <w:sz w:val="24"/>
        </w:rPr>
        <w:t>Unless otherwise provided by Board Resolution, Officer’s Certificate, or supplemental indenture hereto for a particular Series, a “</w:t>
      </w:r>
      <w:r>
        <w:rPr>
          <w:rFonts w:ascii="Times New Roman" w:hAnsi="Times New Roman"/>
          <w:i/>
          <w:color w:val="000000"/>
          <w:sz w:val="24"/>
        </w:rPr>
        <w:t>Legal Holiday</w:t>
      </w:r>
      <w:r>
        <w:rPr>
          <w:rFonts w:ascii="Times New Roman" w:hAnsi="Times New Roman"/>
          <w:color w:val="000000"/>
          <w:sz w:val="20"/>
        </w:rPr>
        <w:t xml:space="preserve">” </w:t>
      </w:r>
      <w:r>
        <w:rPr>
          <w:rFonts w:ascii="Times New Roman" w:hAnsi="Times New Roman"/>
          <w:color w:val="000000"/>
          <w:sz w:val="24"/>
        </w:rPr>
        <w:t>is any day that is not a Business Day. If a payment date for any payment made under this Indenture is not a Business Day, payment may be made on the next succeeding Business Day, and no interest shall accrue for the intervening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10.8. No Recourse Against Others.</w:t>
      </w:r>
    </w:p>
    <w:p>
      <w:pPr>
        <w:pStyle w:val="TextBody"/>
        <w:bidi w:val="0"/>
        <w:spacing w:before="0" w:after="240"/>
        <w:jc w:val="both"/>
        <w:rPr>
          <w:rFonts w:ascii="Times New Roman" w:hAnsi="Times New Roman"/>
          <w:sz w:val="20"/>
        </w:rPr>
      </w:pPr>
      <w:r>
        <w:rPr>
          <w:rFonts w:ascii="Times New Roman" w:hAnsi="Times New Roman"/>
          <w:color w:val="000000"/>
          <w:sz w:val="24"/>
        </w:rPr>
        <w:t>A director, officer, employee or stockholder (past or present), as such, of the Company shall not have any liability for any obligations of the Company under the Securities or</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46</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Indenture or for any claim based on, in respect of or by reason of such obligations or their creation. Each Holder by accepting a Security waives and releases all such liability. The waiver and release are part of the consideration for the issue of the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10.9. Counterparts.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electronic format (e.g., “.pdf” or “.tif”) transmission shall constitute effective execution and delivery of this Indenture as to the parties hereto and may be used in lieu of the original Indenture for all purposes. Signatures of the parties hereto transmitted by facsimile or electronic format (e.g., “.pdf” or “.tif”) shall be deemed to be their original signatures for all purposes.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Unless otherwise provided herein or in any other Securities, the words “execute”, “execution”, “signed” and “signature” and words of similar import used in or related to any document to be signed in connection with this Indenture, any Securities or any of the transactions contemplated hereby (including amendments, waivers, consents and other modifications) shall be deemed to include electronic signatures and the keeping of records in electronic form, each of which shall be of the same legal effect, validity or enforceability as a manually executed signature in ink or the use of a paper-based recordkeeping system, as applicable,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10.10. Governing Law; Waiver of Jury Trial; Consent to Jurisdiction.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INDENTURE AND THE SECURITIES, INCLUDING ANY CLAIM OR CONTROVERSY ARISING OUT OF OR RELATING TO THE INDENTURE OR THE SECURITIES, SHALL BE GOVERNED BY THE LAWS OF THE STATE OF NEW YORK.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THE TRUSTEE AND THE HOLDERS (BY THEIR ACCEPTANCE OF THE SECURITIES) EACH HEREBY IRREVOCABLY WAIVE, TO THE FULLEST EXTENT PERMITTED BY APPLICABLE LAW, ANY AND ALL RIGHT TO TRIAL BY JURY IN ANY LEGAL PROCEEDING ARISING OUT OF OR RELATING TO THIS INDENTURE, THE SECURITIES OR THE TRANSACTIONS CONTEMPLATED HEREBY OR THEREBY.</w:t>
      </w:r>
    </w:p>
    <w:p>
      <w:pPr>
        <w:pStyle w:val="TextBody"/>
        <w:bidi w:val="0"/>
        <w:spacing w:before="0" w:after="240"/>
        <w:jc w:val="both"/>
        <w:rPr>
          <w:rFonts w:ascii="Times New Roman" w:hAnsi="Times New Roman"/>
          <w:sz w:val="20"/>
        </w:rPr>
      </w:pPr>
      <w:r>
        <w:rPr>
          <w:rFonts w:ascii="Times New Roman" w:hAnsi="Times New Roman"/>
          <w:color w:val="000000"/>
          <w:sz w:val="24"/>
        </w:rPr>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w:t>
      </w:r>
      <w:r>
        <w:rPr>
          <w:rFonts w:ascii="Times New Roman" w:hAnsi="Times New Roman"/>
          <w:i/>
          <w:color w:val="000000"/>
          <w:sz w:val="24"/>
        </w:rPr>
        <w:t>Specified Courts</w:t>
      </w:r>
      <w:r>
        <w:rPr>
          <w:rFonts w:ascii="Times New Roman" w:hAnsi="Times New Roman"/>
          <w:color w:val="000000"/>
          <w:sz w:val="20"/>
        </w:rPr>
        <w:t>”</w:t>
      </w:r>
      <w:r>
        <w:rPr>
          <w:rFonts w:ascii="Times New Roman" w:hAnsi="Times New Roman"/>
          <w:color w:val="000000"/>
          <w:sz w:val="24"/>
        </w:rPr>
        <w:t>),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47</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Trustee and the Holders (by their acceptance of the Securities)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10.11. No Adverse Interpretation of Other Agreements.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Indenture may not be used to interpret another indenture, loan or debt agreement of the Company or a Subsidiary of the Company. Any such indenture, loan or debt agreement may not be used to interpret this Indenture.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10.12. Successors.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agreements of the Company in this Indenture and the Securities shall bind its successor. All agreements of the Trustee in this Indenture shall bind its successor.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10.13. Severability.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case any provision in this Indenture or in the Securities shall be invalid, illegal or unenforceable, the validity, legality and enforceability of the remaining provisions shall not in any way be affected or impaired thereby.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10.14. Table of Contents, Headings, Etc.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Table of Contents, Cross Reference Table, headings of the Articles and Sections of this Indenture have been inserted for convenience of reference only, are not to be considered a part hereof and shall in no way modify or restrict any of the terms or provisions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10.15. Securities in a Foreign Currency.</w:t>
      </w:r>
    </w:p>
    <w:p>
      <w:pPr>
        <w:pStyle w:val="TextBody"/>
        <w:bidi w:val="0"/>
        <w:spacing w:before="0" w:after="240"/>
        <w:jc w:val="both"/>
        <w:rPr>
          <w:rFonts w:ascii="Times New Roman" w:hAnsi="Times New Roman"/>
          <w:sz w:val="20"/>
        </w:rPr>
      </w:pPr>
      <w:r>
        <w:rPr>
          <w:rFonts w:ascii="Times New Roman" w:hAnsi="Times New Roman"/>
          <w:color w:val="000000"/>
          <w:sz w:val="24"/>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Section 2.2 of this Indenture with respect to a particular Series of Securities, such conversion shall be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48</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a Series denominated in currency other than Dollars in connection with any action taken by Holders of Securities pursuant to the terms of this Indenture.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decisions and determinations provided for in the preceding paragraph shall, in the absence of manifest error, to the extent permitted by law, be conclusive for all purposes and irrevocably binding upon the Trustee and all Holders.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10.16. Judgment Currency.</w:t>
      </w:r>
    </w:p>
    <w:p>
      <w:pPr>
        <w:pStyle w:val="TextBody"/>
        <w:bidi w:val="0"/>
        <w:spacing w:before="0" w:after="240"/>
        <w:jc w:val="both"/>
        <w:rPr>
          <w:rFonts w:ascii="Times New Roman" w:hAnsi="Times New Roman"/>
          <w:sz w:val="20"/>
        </w:rPr>
      </w:pPr>
      <w:r>
        <w:rPr>
          <w:rFonts w:ascii="Times New Roman" w:hAnsi="Times New Roman"/>
          <w:color w:val="000000"/>
          <w:sz w:val="24"/>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Times New Roman" w:hAnsi="Times New Roman"/>
          <w:i/>
          <w:color w:val="000000"/>
          <w:sz w:val="24"/>
        </w:rPr>
        <w:t>Required Currency</w:t>
      </w:r>
      <w:r>
        <w:rPr>
          <w:rFonts w:ascii="Times New Roman" w:hAnsi="Times New Roman"/>
          <w:color w:val="000000"/>
          <w:sz w:val="20"/>
        </w:rPr>
        <w:t>”</w:t>
      </w:r>
      <w:r>
        <w:rPr>
          <w:rFonts w:ascii="Times New Roman" w:hAnsi="Times New Roman"/>
          <w:color w:val="000000"/>
          <w:sz w:val="24"/>
        </w:rPr>
        <w:t>) into a currency in which a judgment will be rendered (the “</w:t>
      </w:r>
      <w:r>
        <w:rPr>
          <w:rFonts w:ascii="Times New Roman" w:hAnsi="Times New Roman"/>
          <w:i/>
          <w:color w:val="000000"/>
          <w:sz w:val="24"/>
        </w:rPr>
        <w:t>Judgment Currency</w:t>
      </w:r>
      <w:r>
        <w:rPr>
          <w:rFonts w:ascii="Times New Roman" w:hAnsi="Times New Roman"/>
          <w:color w:val="000000"/>
          <w:sz w:val="20"/>
        </w:rPr>
        <w:t>”</w:t>
      </w:r>
      <w:r>
        <w:rPr>
          <w:rFonts w:ascii="Times New Roman" w:hAnsi="Times New Roman"/>
          <w:color w:val="000000"/>
          <w:sz w:val="24"/>
        </w:rPr>
        <w:t>),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Times New Roman" w:hAnsi="Times New Roman"/>
          <w:i/>
          <w:color w:val="000000"/>
          <w:sz w:val="24"/>
        </w:rPr>
        <w:t>New York Banking Day</w:t>
      </w:r>
      <w:r>
        <w:rPr>
          <w:rFonts w:ascii="Times New Roman" w:hAnsi="Times New Roman"/>
          <w:color w:val="000000"/>
          <w:sz w:val="20"/>
        </w:rPr>
        <w:t xml:space="preserve">” </w:t>
      </w:r>
      <w:r>
        <w:rPr>
          <w:rFonts w:ascii="Times New Roman" w:hAnsi="Times New Roman"/>
          <w:color w:val="000000"/>
          <w:sz w:val="24"/>
        </w:rPr>
        <w:t>means any day except a Saturday, Sunday or a legal holiday in the City of New York on which banking institutions are authorized or required by law, regulation or executive order to close.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10.17. Force Majeure.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pandemics, epidemics or other public health emergencies,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49</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10.18. U.S.A. Patriot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pStyle w:val="TextBody"/>
        <w:bidi w:val="0"/>
        <w:jc w:val="center"/>
        <w:rPr>
          <w:rFonts w:ascii="Times New Roman" w:hAnsi="Times New Roman"/>
          <w:caps/>
          <w:color w:val="000000"/>
          <w:sz w:val="24"/>
        </w:rPr>
      </w:pPr>
      <w:r>
        <w:rPr>
          <w:rFonts w:ascii="Times New Roman" w:hAnsi="Times New Roman"/>
          <w:caps/>
          <w:color w:val="000000"/>
          <w:sz w:val="24"/>
        </w:rPr>
        <w:t>Article 11</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SINKING FUNDS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11.1. Applicability of Article.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provisions of this Article shall be applicable to any sinking fund for the retirement of the Securities of a Series if so provided by the terms of such Securities pursuant to Section 2.2, except as otherwise permitted or required by any form of Security of such Series issued pursuant to this Indenture.</w:t>
      </w:r>
    </w:p>
    <w:p>
      <w:pPr>
        <w:pStyle w:val="TextBody"/>
        <w:bidi w:val="0"/>
        <w:spacing w:before="0" w:after="240"/>
        <w:jc w:val="both"/>
        <w:rPr>
          <w:rFonts w:ascii="Times New Roman" w:hAnsi="Times New Roman"/>
          <w:sz w:val="20"/>
        </w:rPr>
      </w:pPr>
      <w:r>
        <w:rPr>
          <w:rFonts w:ascii="Times New Roman" w:hAnsi="Times New Roman"/>
          <w:color w:val="000000"/>
          <w:sz w:val="24"/>
        </w:rPr>
        <w:t>The minimum amount of any sinking fund payment provided for by the terms of the Securities of any Series is herein referred to as a “</w:t>
      </w:r>
      <w:r>
        <w:rPr>
          <w:rFonts w:ascii="Times New Roman" w:hAnsi="Times New Roman"/>
          <w:i/>
          <w:color w:val="000000"/>
          <w:sz w:val="24"/>
        </w:rPr>
        <w:t>mandatory sinking fund payment</w:t>
      </w:r>
      <w:r>
        <w:rPr>
          <w:rFonts w:ascii="Times New Roman" w:hAnsi="Times New Roman"/>
          <w:color w:val="000000"/>
          <w:sz w:val="20"/>
        </w:rPr>
        <w:t xml:space="preserve">” </w:t>
      </w:r>
      <w:r>
        <w:rPr>
          <w:rFonts w:ascii="Times New Roman" w:hAnsi="Times New Roman"/>
          <w:color w:val="000000"/>
          <w:sz w:val="24"/>
        </w:rPr>
        <w:t>and any other amount provided for by the terms of Securities of such Series is herein referred to as an “</w:t>
      </w:r>
      <w:r>
        <w:rPr>
          <w:rFonts w:ascii="Times New Roman" w:hAnsi="Times New Roman"/>
          <w:i/>
          <w:color w:val="000000"/>
          <w:sz w:val="24"/>
        </w:rPr>
        <w:t>optional sinking fund payment</w:t>
      </w:r>
      <w:r>
        <w:rPr>
          <w:rFonts w:ascii="Times New Roman" w:hAnsi="Times New Roman"/>
          <w:color w:val="000000"/>
          <w:sz w:val="24"/>
        </w:rPr>
        <w:t>.” If provided for by the terms of Securities of any Series, the cash amount of any sinking fund payment may be subject to reduction as provided in Section 11.2. Each sinking fund payment shall be applied to the redemption of Securities of any Series as provided for by the terms of the Securities of such Series.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11.2. Satisfaction of Sinking Fund Payments with Securities.</w:t>
      </w:r>
    </w:p>
    <w:p>
      <w:pPr>
        <w:pStyle w:val="TextBody"/>
        <w:bidi w:val="0"/>
        <w:spacing w:before="0" w:after="240"/>
        <w:jc w:val="both"/>
        <w:rPr>
          <w:rFonts w:ascii="Times New Roman" w:hAnsi="Times New Roman"/>
          <w:sz w:val="20"/>
        </w:rPr>
      </w:pPr>
      <w:r>
        <w:rPr>
          <w:rFonts w:ascii="Times New Roman" w:hAnsi="Times New Roman"/>
          <w:color w:val="000000"/>
          <w:sz w:val="24"/>
        </w:rPr>
        <w:t>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50</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redemption, except upon receipt of a Company Order that such action be taken, and such cash payment shall be held by the Trustee or a Paying Agent and applied to the next succeeding sinking fund payment, provided, however,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Section 11.3. Redemption of Securities for Sinking Fund.</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Securities to be redeemed upon such sinking fund payment date will be selected in the manner specified in Section 3.2, and the Company shall send or cause to be sent a notice of the redemption thereof to be given in the name of and at the expense of the Company in the manner provided in and in accordance with Section 3.3. Such notice having been duly given, the redemption of such Securities shall be made upon the terms and in the manner stated in Sections 3.4, 3.5 and 3.6.</w:t>
      </w:r>
    </w:p>
    <w:p>
      <w:pPr>
        <w:pStyle w:val="TextBody"/>
        <w:bidi w:val="0"/>
        <w:jc w:val="both"/>
        <w:rPr>
          <w:rFonts w:ascii="Times New Roman" w:hAnsi="Times New Roman"/>
          <w:color w:val="000000"/>
          <w:sz w:val="24"/>
        </w:rPr>
      </w:pPr>
      <w:r>
        <w:rPr>
          <w:rFonts w:ascii="Times New Roman" w:hAnsi="Times New Roman"/>
          <w:color w:val="000000"/>
          <w:sz w:val="24"/>
        </w:rPr>
        <w:t>IN WITNESS WHEREOF, the parties hereto have caused this Indenture to be duly executed as of the day and year first above written.</w:t>
      </w:r>
    </w:p>
    <w:p>
      <w:pPr>
        <w:pStyle w:val="TextBody"/>
        <w:bidi w:val="0"/>
        <w:jc w:val="both"/>
        <w:rPr/>
      </w:pPr>
      <w:r>
        <w:rPr/>
        <w:t> </w:t>
      </w:r>
    </w:p>
    <w:tbl>
      <w:tblPr>
        <w:tblW w:w="2101" w:type="dxa"/>
        <w:jc w:val="left"/>
        <w:tblInd w:w="0" w:type="dxa"/>
        <w:tblLayout w:type="fixed"/>
        <w:tblCellMar>
          <w:top w:w="28" w:type="dxa"/>
          <w:left w:w="28" w:type="dxa"/>
          <w:bottom w:w="28" w:type="dxa"/>
          <w:right w:w="28" w:type="dxa"/>
        </w:tblCellMar>
      </w:tblPr>
      <w:tblGrid>
        <w:gridCol w:w="2101"/>
      </w:tblGrid>
      <w:tr>
        <w:trPr/>
        <w:tc>
          <w:tcPr>
            <w:tcW w:w="2101"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aps/>
                <w:color w:val="000000"/>
                <w:sz w:val="24"/>
              </w:rPr>
            </w:pPr>
            <w:r>
              <w:rPr>
                <w:rFonts w:ascii="Times New Roman" w:hAnsi="Times New Roman"/>
                <w:caps/>
                <w:color w:val="000000"/>
                <w:sz w:val="24"/>
              </w:rPr>
              <w:t>CARLSMED, Inc.</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By:</w:t>
            </w:r>
          </w:p>
        </w:tc>
      </w:tr>
      <w:tr>
        <w:trPr/>
        <w:tc>
          <w:tcPr>
            <w:tcW w:w="21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Name:</w:t>
            </w:r>
          </w:p>
        </w:tc>
      </w:tr>
      <w:tr>
        <w:trPr/>
        <w:tc>
          <w:tcPr>
            <w:tcW w:w="21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Its:</w:t>
            </w:r>
          </w:p>
        </w:tc>
      </w:tr>
      <w:tr>
        <w:trPr/>
        <w:tc>
          <w:tcPr>
            <w:tcW w:w="210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[___], as Trustee</w:t>
            </w:r>
          </w:p>
        </w:tc>
      </w:tr>
      <w:tr>
        <w:trPr/>
        <w:tc>
          <w:tcPr>
            <w:tcW w:w="210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By:</w:t>
            </w:r>
          </w:p>
        </w:tc>
      </w:tr>
      <w:tr>
        <w:trPr/>
        <w:tc>
          <w:tcPr>
            <w:tcW w:w="21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Name:</w:t>
            </w:r>
          </w:p>
        </w:tc>
      </w:tr>
      <w:tr>
        <w:trPr/>
        <w:tc>
          <w:tcPr>
            <w:tcW w:w="21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Its:</w:t>
            </w:r>
          </w:p>
        </w:tc>
      </w:tr>
    </w:tbl>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51</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19" w:name="carl-ex5_1.htm"/>
      <w:bookmarkStart w:id="20" w:name="kscarlex5_1"/>
      <w:bookmarkStart w:id="21" w:name="carl-ex5_1.htm"/>
      <w:bookmarkStart w:id="22" w:name="kscarlex5_1"/>
      <w:bookmarkEnd w:id="21"/>
      <w:bookmarkEnd w:id="22"/>
      <w:r>
        <w:br w:type="page"/>
      </w:r>
    </w:p>
    <w:tbl>
      <w:tblPr>
        <w:tblW w:w="10115" w:type="dxa"/>
        <w:jc w:val="left"/>
        <w:tblInd w:w="0" w:type="dxa"/>
        <w:tblLayout w:type="fixed"/>
        <w:tblCellMar>
          <w:top w:w="28" w:type="dxa"/>
          <w:left w:w="28" w:type="dxa"/>
          <w:bottom w:w="28" w:type="dxa"/>
          <w:right w:w="28" w:type="dxa"/>
        </w:tblCellMar>
      </w:tblPr>
      <w:tblGrid>
        <w:gridCol w:w="3341"/>
        <w:gridCol w:w="146"/>
        <w:gridCol w:w="2281"/>
        <w:gridCol w:w="146"/>
        <w:gridCol w:w="4201"/>
      </w:tblGrid>
      <w:tr>
        <w:trPr/>
        <w:tc>
          <w:tcPr>
            <w:tcW w:w="3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1" w:type="dxa"/>
            <w:tcBorders/>
            <w:vAlign w:val="center"/>
          </w:tcPr>
          <w:p>
            <w:pPr>
              <w:pStyle w:val="TableContents"/>
              <w:bidi w:val="0"/>
              <w:spacing w:before="0" w:after="283"/>
              <w:jc w:val="left"/>
              <w:rPr>
                <w:sz w:val="4"/>
                <w:szCs w:val="4"/>
              </w:rPr>
            </w:pPr>
            <w:r>
              <w:rPr>
                <w:sz w:val="4"/>
                <w:szCs w:val="4"/>
              </w:rPr>
            </w:r>
          </w:p>
        </w:tc>
      </w:tr>
      <w:tr>
        <w:trPr/>
        <w:tc>
          <w:tcPr>
            <w:tcW w:w="3341" w:type="dxa"/>
            <w:vMerge w:val="restart"/>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057400" cy="133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5"/>
                          <a:stretch>
                            <a:fillRect/>
                          </a:stretch>
                        </pic:blipFill>
                        <pic:spPr bwMode="auto">
                          <a:xfrm>
                            <a:off x="0" y="0"/>
                            <a:ext cx="2057400" cy="13335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12531 HIGH BLUFF DRIVE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MORRISON &amp; FOERSTER LLP</w:t>
            </w:r>
          </w:p>
        </w:tc>
      </w:tr>
      <w:tr>
        <w:trPr/>
        <w:tc>
          <w:tcPr>
            <w:tcW w:w="334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SUITE 200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AMSTERDAM, AUSTIN, BERLIN, BOSTON</w:t>
            </w:r>
          </w:p>
        </w:tc>
      </w:tr>
      <w:tr>
        <w:trPr/>
        <w:tc>
          <w:tcPr>
            <w:tcW w:w="3341"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SAN DIEGO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BRUSSELS, DENVER, HONG KONG, LONDON</w:t>
            </w:r>
          </w:p>
        </w:tc>
      </w:tr>
      <w:tr>
        <w:trPr/>
        <w:tc>
          <w:tcPr>
            <w:tcW w:w="334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CALIFORNIA 92130-3588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 ANGELES, MIAMI, NEW YORK, PALO ALTO</w:t>
            </w:r>
          </w:p>
        </w:tc>
      </w:tr>
      <w:tr>
        <w:trPr/>
        <w:tc>
          <w:tcPr>
            <w:tcW w:w="334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TELEPHONE: 858.720.5100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SAN DIEGO, SAN FRANCISCO, SEATTLE</w:t>
            </w:r>
          </w:p>
        </w:tc>
      </w:tr>
      <w:tr>
        <w:trPr/>
        <w:tc>
          <w:tcPr>
            <w:tcW w:w="334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FACSIMILE: 858.720.5125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SHANGHAI, SINGAPORE, TOKYO</w:t>
            </w:r>
          </w:p>
        </w:tc>
      </w:tr>
      <w:tr>
        <w:trPr/>
        <w:tc>
          <w:tcPr>
            <w:tcW w:w="334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WWW.MOFO.COM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WASHINGTON, D.C.</w:t>
            </w:r>
          </w:p>
        </w:tc>
      </w:tr>
    </w:tbl>
    <w:p>
      <w:pPr>
        <w:pStyle w:val="TextBody"/>
        <w:bidi w:val="0"/>
        <w:jc w:val="left"/>
        <w:rPr/>
      </w:pPr>
      <w:r>
        <w:rPr/>
        <w:t> </w:t>
      </w:r>
    </w:p>
    <w:p>
      <w:pPr>
        <w:pStyle w:val="TextBody"/>
        <w:bidi w:val="0"/>
        <w:jc w:val="right"/>
        <w:rPr>
          <w:rFonts w:ascii="Times New Roman" w:hAnsi="Times New Roman"/>
          <w:b/>
          <w:color w:val="000000"/>
          <w:sz w:val="22"/>
        </w:rPr>
      </w:pPr>
      <w:r>
        <w:rPr>
          <w:rFonts w:ascii="Times New Roman" w:hAnsi="Times New Roman"/>
          <w:b/>
          <w:color w:val="000000"/>
          <w:sz w:val="22"/>
        </w:rPr>
        <w:t>Exhibit 5.1</w:t>
      </w:r>
    </w:p>
    <w:p>
      <w:pPr>
        <w:pStyle w:val="TextBody"/>
        <w:bidi w:val="0"/>
        <w:spacing w:before="440" w:after="283"/>
        <w:jc w:val="left"/>
        <w:rPr>
          <w:rFonts w:ascii="Times New Roman" w:hAnsi="Times New Roman"/>
          <w:sz w:val="20"/>
        </w:rPr>
      </w:pPr>
      <w:r>
        <w:rPr>
          <w:rFonts w:ascii="Times New Roman" w:hAnsi="Times New Roman"/>
          <w:color w:val="000000"/>
          <w:sz w:val="22"/>
        </w:rPr>
        <w:t>August 14, 2026</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Board of Directors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Carlsmed, Inc.</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1800 Aston Ave., Suite 100</w:t>
      </w:r>
    </w:p>
    <w:p>
      <w:pPr>
        <w:pStyle w:val="TextBody"/>
        <w:bidi w:val="0"/>
        <w:jc w:val="left"/>
        <w:rPr>
          <w:rFonts w:ascii="Times New Roman" w:hAnsi="Times New Roman"/>
          <w:color w:val="000000"/>
          <w:sz w:val="22"/>
        </w:rPr>
      </w:pPr>
      <w:r>
        <w:rPr>
          <w:rFonts w:ascii="Times New Roman" w:hAnsi="Times New Roman"/>
          <w:color w:val="000000"/>
          <w:sz w:val="22"/>
        </w:rPr>
        <w:t>Carlsbad, CA 92008</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Re: Registration Statement on Form S-3</w:t>
      </w:r>
    </w:p>
    <w:p>
      <w:pPr>
        <w:pStyle w:val="TextBody"/>
        <w:bidi w:val="0"/>
        <w:spacing w:before="240" w:after="283"/>
        <w:jc w:val="left"/>
        <w:rPr>
          <w:rFonts w:ascii="Times New Roman" w:hAnsi="Times New Roman"/>
          <w:sz w:val="20"/>
        </w:rPr>
      </w:pPr>
      <w:r>
        <w:rPr>
          <w:rFonts w:ascii="Times New Roman" w:hAnsi="Times New Roman"/>
          <w:color w:val="000000"/>
          <w:sz w:val="22"/>
        </w:rPr>
        <w:t>Ladies and Gentlemen: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We have acted as counsel to Carlsmed, Inc., a Delaware corporation (the “</w:t>
      </w:r>
      <w:r>
        <w:rPr>
          <w:rFonts w:ascii="Times New Roman" w:hAnsi="Times New Roman"/>
          <w:b/>
          <w:color w:val="000000"/>
          <w:sz w:val="22"/>
        </w:rPr>
        <w:t>Company</w:t>
      </w:r>
      <w:r>
        <w:rPr>
          <w:rFonts w:ascii="Times New Roman" w:hAnsi="Times New Roman"/>
          <w:color w:val="000000"/>
          <w:sz w:val="20"/>
        </w:rPr>
        <w:t>”</w:t>
      </w:r>
      <w:r>
        <w:rPr>
          <w:rFonts w:ascii="Times New Roman" w:hAnsi="Times New Roman"/>
          <w:color w:val="000000"/>
          <w:sz w:val="22"/>
        </w:rPr>
        <w:t>), in connection with the preparation and filing of its registration statement on Form S-3 (the “</w:t>
      </w:r>
      <w:r>
        <w:rPr>
          <w:rFonts w:ascii="Times New Roman" w:hAnsi="Times New Roman"/>
          <w:b/>
          <w:color w:val="000000"/>
          <w:sz w:val="22"/>
        </w:rPr>
        <w:t>Registration Statement</w:t>
      </w:r>
      <w:r>
        <w:rPr>
          <w:rFonts w:ascii="Times New Roman" w:hAnsi="Times New Roman"/>
          <w:color w:val="000000"/>
          <w:sz w:val="20"/>
        </w:rPr>
        <w:t>”</w:t>
      </w:r>
      <w:r>
        <w:rPr>
          <w:rFonts w:ascii="Times New Roman" w:hAnsi="Times New Roman"/>
          <w:color w:val="000000"/>
          <w:sz w:val="22"/>
        </w:rPr>
        <w:t>), filed on the date hereof with the Securities and Exchange Commission (the “</w:t>
      </w:r>
      <w:r>
        <w:rPr>
          <w:rFonts w:ascii="Times New Roman" w:hAnsi="Times New Roman"/>
          <w:b/>
          <w:color w:val="000000"/>
          <w:sz w:val="22"/>
        </w:rPr>
        <w:t>Commission</w:t>
      </w:r>
      <w:r>
        <w:rPr>
          <w:rFonts w:ascii="Times New Roman" w:hAnsi="Times New Roman"/>
          <w:color w:val="000000"/>
          <w:sz w:val="20"/>
        </w:rPr>
        <w:t>”</w:t>
      </w:r>
      <w:r>
        <w:rPr>
          <w:rFonts w:ascii="Times New Roman" w:hAnsi="Times New Roman"/>
          <w:color w:val="000000"/>
          <w:sz w:val="22"/>
        </w:rPr>
        <w:t>) under the Securities Act of 1933, as amended (the “</w:t>
      </w:r>
      <w:r>
        <w:rPr>
          <w:rFonts w:ascii="Times New Roman" w:hAnsi="Times New Roman"/>
          <w:b/>
          <w:color w:val="000000"/>
          <w:sz w:val="22"/>
        </w:rPr>
        <w:t>Securities Act</w:t>
      </w:r>
      <w:r>
        <w:rPr>
          <w:rFonts w:ascii="Times New Roman" w:hAnsi="Times New Roman"/>
          <w:color w:val="000000"/>
          <w:sz w:val="20"/>
        </w:rPr>
        <w:t>”</w:t>
      </w:r>
      <w:r>
        <w:rPr>
          <w:rFonts w:ascii="Times New Roman" w:hAnsi="Times New Roman"/>
          <w:color w:val="000000"/>
          <w:sz w:val="22"/>
        </w:rPr>
        <w:t>), including a base prospectus (the “</w:t>
      </w:r>
      <w:r>
        <w:rPr>
          <w:rFonts w:ascii="Times New Roman" w:hAnsi="Times New Roman"/>
          <w:b/>
          <w:color w:val="000000"/>
          <w:sz w:val="22"/>
        </w:rPr>
        <w:t>Base Prospectus</w:t>
      </w:r>
      <w:r>
        <w:rPr>
          <w:rFonts w:ascii="Times New Roman" w:hAnsi="Times New Roman"/>
          <w:color w:val="000000"/>
          <w:sz w:val="20"/>
        </w:rPr>
        <w:t>”</w:t>
      </w:r>
      <w:r>
        <w:rPr>
          <w:rFonts w:ascii="Times New Roman" w:hAnsi="Times New Roman"/>
          <w:color w:val="000000"/>
          <w:sz w:val="22"/>
        </w:rPr>
        <w:t>) relating to the proposed issuance and sale by the Company of up to $250,000,000 in aggregate amount of the following securities: (i) shares of the Company’s common stock, $0.00001 par value per share (the “</w:t>
      </w:r>
      <w:r>
        <w:rPr>
          <w:rFonts w:ascii="Times New Roman" w:hAnsi="Times New Roman"/>
          <w:b/>
          <w:color w:val="000000"/>
          <w:sz w:val="22"/>
        </w:rPr>
        <w:t>Common Stock</w:t>
      </w:r>
      <w:r>
        <w:rPr>
          <w:rFonts w:ascii="Times New Roman" w:hAnsi="Times New Roman"/>
          <w:color w:val="000000"/>
          <w:sz w:val="20"/>
        </w:rPr>
        <w:t>”</w:t>
      </w:r>
      <w:r>
        <w:rPr>
          <w:rFonts w:ascii="Times New Roman" w:hAnsi="Times New Roman"/>
          <w:color w:val="000000"/>
          <w:sz w:val="22"/>
        </w:rPr>
        <w:t>), (ii) shares of one or more series of the Company’s preferred stock, $0.00001 par value per share (the “</w:t>
      </w:r>
      <w:r>
        <w:rPr>
          <w:rFonts w:ascii="Times New Roman" w:hAnsi="Times New Roman"/>
          <w:b/>
          <w:color w:val="000000"/>
          <w:sz w:val="22"/>
        </w:rPr>
        <w:t>Preferred Stock</w:t>
      </w:r>
      <w:r>
        <w:rPr>
          <w:rFonts w:ascii="Times New Roman" w:hAnsi="Times New Roman"/>
          <w:color w:val="000000"/>
          <w:sz w:val="20"/>
        </w:rPr>
        <w:t>”</w:t>
      </w:r>
      <w:r>
        <w:rPr>
          <w:rFonts w:ascii="Times New Roman" w:hAnsi="Times New Roman"/>
          <w:color w:val="000000"/>
          <w:sz w:val="22"/>
        </w:rPr>
        <w:t>), (iii) one or more series of debt securities (collectively, the “</w:t>
      </w:r>
      <w:r>
        <w:rPr>
          <w:rFonts w:ascii="Times New Roman" w:hAnsi="Times New Roman"/>
          <w:b/>
          <w:color w:val="000000"/>
          <w:sz w:val="22"/>
        </w:rPr>
        <w:t>Debt Securities</w:t>
      </w:r>
      <w:r>
        <w:rPr>
          <w:rFonts w:ascii="Times New Roman" w:hAnsi="Times New Roman"/>
          <w:color w:val="000000"/>
          <w:sz w:val="20"/>
        </w:rPr>
        <w:t>”</w:t>
      </w:r>
      <w:r>
        <w:rPr>
          <w:rFonts w:ascii="Times New Roman" w:hAnsi="Times New Roman"/>
          <w:color w:val="000000"/>
          <w:sz w:val="22"/>
        </w:rPr>
        <w:t>) to be issued under an indenture to be entered into between the Company, as issuer, and a third party to be identified therein as trustee (a form of which is included as Exhibit 4.5 to the Registration Statement) and one or more board resolutions, supplements thereto or officer’s certificates thereunder (such indenture, together with the applicable board resolution, supplement or officer’s certificate pertaining to the applicable series of Debt Securities, the “</w:t>
      </w:r>
      <w:r>
        <w:rPr>
          <w:rFonts w:ascii="Times New Roman" w:hAnsi="Times New Roman"/>
          <w:b/>
          <w:color w:val="000000"/>
          <w:sz w:val="22"/>
        </w:rPr>
        <w:t>Applicable Indenture</w:t>
      </w:r>
      <w:r>
        <w:rPr>
          <w:rFonts w:ascii="Times New Roman" w:hAnsi="Times New Roman"/>
          <w:color w:val="000000"/>
          <w:sz w:val="20"/>
        </w:rPr>
        <w:t>”</w:t>
      </w:r>
      <w:r>
        <w:rPr>
          <w:rFonts w:ascii="Times New Roman" w:hAnsi="Times New Roman"/>
          <w:color w:val="000000"/>
          <w:sz w:val="22"/>
        </w:rPr>
        <w:t>), (iv) warrants to purchase Common Stock or Preferred Stock or any combination thereof (the “</w:t>
      </w:r>
      <w:r>
        <w:rPr>
          <w:rFonts w:ascii="Times New Roman" w:hAnsi="Times New Roman"/>
          <w:b/>
          <w:color w:val="000000"/>
          <w:sz w:val="22"/>
        </w:rPr>
        <w:t>Warrants</w:t>
      </w:r>
      <w:r>
        <w:rPr>
          <w:rFonts w:ascii="Times New Roman" w:hAnsi="Times New Roman"/>
          <w:color w:val="000000"/>
          <w:sz w:val="20"/>
        </w:rPr>
        <w:t>”</w:t>
      </w:r>
      <w:r>
        <w:rPr>
          <w:rFonts w:ascii="Times New Roman" w:hAnsi="Times New Roman"/>
          <w:color w:val="000000"/>
          <w:sz w:val="22"/>
        </w:rPr>
        <w:t>) and (v) units consisting of two or more of the types of securities referred to above (the “</w:t>
      </w:r>
      <w:r>
        <w:rPr>
          <w:rFonts w:ascii="Times New Roman" w:hAnsi="Times New Roman"/>
          <w:b/>
          <w:color w:val="000000"/>
          <w:sz w:val="22"/>
        </w:rPr>
        <w:t>Units</w:t>
      </w:r>
      <w:r>
        <w:rPr>
          <w:rFonts w:ascii="Times New Roman" w:hAnsi="Times New Roman"/>
          <w:color w:val="000000"/>
          <w:sz w:val="20"/>
        </w:rPr>
        <w:t xml:space="preserve">” </w:t>
      </w:r>
      <w:r>
        <w:rPr>
          <w:rFonts w:ascii="Times New Roman" w:hAnsi="Times New Roman"/>
          <w:color w:val="000000"/>
          <w:sz w:val="22"/>
        </w:rPr>
        <w:t>and, together with the Common Stock, the Preferred Stock, the Debt Securities, the Warrants, the “</w:t>
      </w:r>
      <w:r>
        <w:rPr>
          <w:rFonts w:ascii="Times New Roman" w:hAnsi="Times New Roman"/>
          <w:b/>
          <w:color w:val="000000"/>
          <w:sz w:val="22"/>
        </w:rPr>
        <w:t>Securities</w:t>
      </w:r>
      <w:r>
        <w:rPr>
          <w:rFonts w:ascii="Times New Roman" w:hAnsi="Times New Roman"/>
          <w:color w:val="000000"/>
          <w:sz w:val="20"/>
        </w:rPr>
        <w:t>”</w:t>
      </w:r>
      <w:r>
        <w:rPr>
          <w:rFonts w:ascii="Times New Roman" w:hAnsi="Times New Roman"/>
          <w:color w:val="000000"/>
          <w:sz w:val="22"/>
        </w:rPr>
        <w:t>), all of which may be offered and sold by the Company from time to time on a delayed or continuous basis in accordance with Rule 415 promulgated under the Securities Act, as set forth in the Base Prospectus, and as to be set forth in one or more supplements to the Base Prospectus.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As counsel for the Company, we have examined the Registration Statement and originals or copies, certified or otherwise identified to our satisfaction, of such agreements, documents, certificates, corporate records, certificate of public officials and other instruments as we have deemed relevant and necessary for the purpose of rendering this opinion. In our examination, we have assumed: (i) the authenticity of all documents submitted to us and the genuineness of all signatures; (ii) the conformity with the originals of all documents submitted to us as copies; (iii) the truth, accuracy and completeness of the information, representations and warranties contained in the agreements, instruments, documents, certificates and records that we have reviewed; and (iv) the legal capacity of all natural persons. As to all matters of fact, we have relied upon the representations and statements of fact made in the documents so reviewed, and we have not independently established or verified the facts so relied upon. This opinion letter is given, and all statements herein are made, in the context of the foregoing.</w:t>
      </w:r>
    </w:p>
    <w:p>
      <w:pPr>
        <w:pStyle w:val="HorizontalLine"/>
        <w:pBdr>
          <w:bottom w:val="double" w:sz="2" w:space="0" w:color="808080"/>
        </w:pBdr>
        <w:bidi w:val="0"/>
        <w:spacing w:before="0" w:after="283"/>
        <w:jc w:val="left"/>
        <w:rPr/>
      </w:pPr>
      <w:r>
        <w:rPr/>
      </w:r>
    </w:p>
    <w:tbl>
      <w:tblPr>
        <w:tblW w:w="3746" w:type="dxa"/>
        <w:jc w:val="left"/>
        <w:tblInd w:w="0" w:type="dxa"/>
        <w:tblLayout w:type="fixed"/>
        <w:tblCellMar>
          <w:top w:w="28" w:type="dxa"/>
          <w:left w:w="28" w:type="dxa"/>
          <w:bottom w:w="28" w:type="dxa"/>
          <w:right w:w="28" w:type="dxa"/>
        </w:tblCellMar>
      </w:tblPr>
      <w:tblGrid>
        <w:gridCol w:w="3746"/>
      </w:tblGrid>
      <w:tr>
        <w:trPr/>
        <w:tc>
          <w:tcPr>
            <w:tcW w:w="3746" w:type="dxa"/>
            <w:tcBorders/>
            <w:vAlign w:val="center"/>
          </w:tcPr>
          <w:p>
            <w:pPr>
              <w:pStyle w:val="TableContents"/>
              <w:bidi w:val="0"/>
              <w:spacing w:before="0" w:after="283"/>
              <w:jc w:val="left"/>
              <w:rPr>
                <w:sz w:val="4"/>
                <w:szCs w:val="4"/>
              </w:rPr>
            </w:pPr>
            <w:r>
              <w:rPr>
                <w:sz w:val="4"/>
                <w:szCs w:val="4"/>
              </w:rPr>
            </w:r>
          </w:p>
        </w:tc>
      </w:tr>
      <w:tr>
        <w:trPr/>
        <w:tc>
          <w:tcPr>
            <w:tcW w:w="374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86000" cy="152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6"/>
                          <a:stretch>
                            <a:fillRect/>
                          </a:stretch>
                        </pic:blipFill>
                        <pic:spPr bwMode="auto">
                          <a:xfrm>
                            <a:off x="0" y="0"/>
                            <a:ext cx="2286000" cy="152400"/>
                          </a:xfrm>
                          <a:prstGeom prst="rect">
                            <a:avLst/>
                          </a:prstGeom>
                        </pic:spPr>
                      </pic:pic>
                    </a:graphicData>
                  </a:graphic>
                </wp:inline>
              </w:drawing>
            </w:r>
          </w:p>
        </w:tc>
      </w:tr>
      <w:tr>
        <w:trPr/>
        <w:tc>
          <w:tcPr>
            <w:tcW w:w="37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Carlsmed, Inc.</w:t>
            </w:r>
          </w:p>
        </w:tc>
      </w:tr>
      <w:tr>
        <w:trPr/>
        <w:tc>
          <w:tcPr>
            <w:tcW w:w="3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August 14, 2026</w:t>
            </w:r>
          </w:p>
        </w:tc>
      </w:tr>
      <w:tr>
        <w:trPr/>
        <w:tc>
          <w:tcPr>
            <w:tcW w:w="3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Page Two</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2"/>
        </w:rPr>
        <w:t>For purposes of this opinion letter, we have further assumed that: (i) the issuance, sale, amount and terms of any Securities to be offered by the Company from time to time under the Registration Statement will have been duly authorized and established by proper action (“</w:t>
      </w:r>
      <w:r>
        <w:rPr>
          <w:rFonts w:ascii="Times New Roman" w:hAnsi="Times New Roman"/>
          <w:b/>
          <w:color w:val="000000"/>
          <w:sz w:val="22"/>
        </w:rPr>
        <w:t>Board Action</w:t>
      </w:r>
      <w:r>
        <w:rPr>
          <w:rFonts w:ascii="Times New Roman" w:hAnsi="Times New Roman"/>
          <w:color w:val="000000"/>
          <w:sz w:val="20"/>
        </w:rPr>
        <w:t>”</w:t>
      </w:r>
      <w:r>
        <w:rPr>
          <w:rFonts w:ascii="Times New Roman" w:hAnsi="Times New Roman"/>
          <w:color w:val="000000"/>
          <w:sz w:val="22"/>
        </w:rPr>
        <w:t>) of the Board of Directors of the Company (the “</w:t>
      </w:r>
      <w:r>
        <w:rPr>
          <w:rFonts w:ascii="Times New Roman" w:hAnsi="Times New Roman"/>
          <w:b/>
          <w:color w:val="000000"/>
          <w:sz w:val="22"/>
        </w:rPr>
        <w:t>Board of Directors</w:t>
      </w:r>
      <w:r>
        <w:rPr>
          <w:rFonts w:ascii="Times New Roman" w:hAnsi="Times New Roman"/>
          <w:color w:val="000000"/>
          <w:sz w:val="20"/>
        </w:rPr>
        <w:t>”</w:t>
      </w:r>
      <w:r>
        <w:rPr>
          <w:rFonts w:ascii="Times New Roman" w:hAnsi="Times New Roman"/>
          <w:color w:val="000000"/>
          <w:sz w:val="22"/>
        </w:rPr>
        <w:t>) or a duly authorized committee of the Board of Directors in accordance with the Company’s Amended and Restated Certificate of Incorporation (the “</w:t>
      </w:r>
      <w:r>
        <w:rPr>
          <w:rFonts w:ascii="Times New Roman" w:hAnsi="Times New Roman"/>
          <w:b/>
          <w:color w:val="000000"/>
          <w:sz w:val="22"/>
        </w:rPr>
        <w:t>Charter</w:t>
      </w:r>
      <w:r>
        <w:rPr>
          <w:rFonts w:ascii="Times New Roman" w:hAnsi="Times New Roman"/>
          <w:color w:val="000000"/>
          <w:sz w:val="20"/>
        </w:rPr>
        <w:t>”</w:t>
      </w:r>
      <w:r>
        <w:rPr>
          <w:rFonts w:ascii="Times New Roman" w:hAnsi="Times New Roman"/>
          <w:color w:val="000000"/>
          <w:sz w:val="22"/>
        </w:rPr>
        <w:t>), the Company’s Amended and Restated Bylaws, and applicable provisions of Delaware corporate law, in a manner that does not violate any law, government or court-imposed order or restriction or agreement or instrument then-binding on the Company or otherwise impair the valid or binding nature of the obligations represented by the applicable Securities; (ii) at the time of offer, issuance and sale of any Securities, the Registration Statement and any amendments thereto (including post-effective amendments) will have been declared effective under the Securities Act, and no stop order suspending its effectiveness will have been issued and remain in effect; (iii) if applicable, a prospectus supplement will have been filed with the Commission describing the Securities offered thereby; (iv) all Securities will be issued and sold in compliance with applicable U.S. federal and state securities laws and in the manner stated in the Registration Statement and the applicable prospectus supplement; (v) prior to the issuance of any Securities by the Company, a definitive purchase, underwriting or similar agreement with respect to any Securities offered will have been duly authorized and validly executed and delivered by the Company and the other parties thereto; (vi) any Debt Securities will be issued under an Applicable Indenture between the Company and a third party to be identified as trustee (vii) any Warrants will be issued under one or more warrant agreements (each a “</w:t>
      </w:r>
      <w:r>
        <w:rPr>
          <w:rFonts w:ascii="Times New Roman" w:hAnsi="Times New Roman"/>
          <w:b/>
          <w:color w:val="000000"/>
          <w:sz w:val="22"/>
        </w:rPr>
        <w:t>Warrant Agreement</w:t>
      </w:r>
      <w:r>
        <w:rPr>
          <w:rFonts w:ascii="Times New Roman" w:hAnsi="Times New Roman"/>
          <w:color w:val="000000"/>
          <w:sz w:val="20"/>
        </w:rPr>
        <w:t>”</w:t>
      </w:r>
      <w:r>
        <w:rPr>
          <w:rFonts w:ascii="Times New Roman" w:hAnsi="Times New Roman"/>
          <w:color w:val="000000"/>
          <w:sz w:val="22"/>
        </w:rPr>
        <w:t>), each to be between the Company and a bank, trust company, or other financial institution identified therein as warrant agent (each, a “</w:t>
      </w:r>
      <w:r>
        <w:rPr>
          <w:rFonts w:ascii="Times New Roman" w:hAnsi="Times New Roman"/>
          <w:b/>
          <w:color w:val="000000"/>
          <w:sz w:val="22"/>
        </w:rPr>
        <w:t>Warrant Agent</w:t>
      </w:r>
      <w:r>
        <w:rPr>
          <w:rFonts w:ascii="Times New Roman" w:hAnsi="Times New Roman"/>
          <w:color w:val="000000"/>
          <w:sz w:val="20"/>
        </w:rPr>
        <w:t>”</w:t>
      </w:r>
      <w:r>
        <w:rPr>
          <w:rFonts w:ascii="Times New Roman" w:hAnsi="Times New Roman"/>
          <w:color w:val="000000"/>
          <w:sz w:val="22"/>
        </w:rPr>
        <w:t>); (viii) any Preferred Stock will be issued in one or more series and the number of shares and the designation, powers, preferences and rights of the Preferred Stock of such series and any qualifications, limitations or restrictions thereon, will be set forth in a certificate of designation (each, a “</w:t>
      </w:r>
      <w:r>
        <w:rPr>
          <w:rFonts w:ascii="Times New Roman" w:hAnsi="Times New Roman"/>
          <w:b/>
          <w:color w:val="000000"/>
          <w:sz w:val="22"/>
        </w:rPr>
        <w:t>Certificate of Designation</w:t>
      </w:r>
      <w:r>
        <w:rPr>
          <w:rFonts w:ascii="Times New Roman" w:hAnsi="Times New Roman"/>
          <w:color w:val="000000"/>
          <w:sz w:val="20"/>
        </w:rPr>
        <w:t>”</w:t>
      </w:r>
      <w:r>
        <w:rPr>
          <w:rFonts w:ascii="Times New Roman" w:hAnsi="Times New Roman"/>
          <w:color w:val="000000"/>
          <w:sz w:val="22"/>
        </w:rPr>
        <w:t>); (ix) any Units will be issued under one or more unit agreements (each, a “</w:t>
      </w:r>
      <w:r>
        <w:rPr>
          <w:rFonts w:ascii="Times New Roman" w:hAnsi="Times New Roman"/>
          <w:b/>
          <w:color w:val="000000"/>
          <w:sz w:val="22"/>
        </w:rPr>
        <w:t>Unit Agreement</w:t>
      </w:r>
      <w:r>
        <w:rPr>
          <w:rFonts w:ascii="Times New Roman" w:hAnsi="Times New Roman"/>
          <w:color w:val="000000"/>
          <w:sz w:val="20"/>
        </w:rPr>
        <w:t>”</w:t>
      </w:r>
      <w:r>
        <w:rPr>
          <w:rFonts w:ascii="Times New Roman" w:hAnsi="Times New Roman"/>
          <w:color w:val="000000"/>
          <w:sz w:val="22"/>
        </w:rPr>
        <w:t>), each to be entered into by the Company and a unit agent (each, a “</w:t>
      </w:r>
      <w:r>
        <w:rPr>
          <w:rFonts w:ascii="Times New Roman" w:hAnsi="Times New Roman"/>
          <w:b/>
          <w:color w:val="000000"/>
          <w:sz w:val="22"/>
        </w:rPr>
        <w:t>Unit Agent</w:t>
      </w:r>
      <w:r>
        <w:rPr>
          <w:rFonts w:ascii="Times New Roman" w:hAnsi="Times New Roman"/>
          <w:color w:val="000000"/>
          <w:sz w:val="20"/>
        </w:rPr>
        <w:t>”</w:t>
      </w:r>
      <w:r>
        <w:rPr>
          <w:rFonts w:ascii="Times New Roman" w:hAnsi="Times New Roman"/>
          <w:color w:val="000000"/>
          <w:sz w:val="22"/>
        </w:rPr>
        <w:t>); (x) if being sold by the issuer thereof, the Securities will be delivered against payment of valid consideration therefor and in accordance with the terms of the applicable Board Action authorizing such sale and any applicable underwriting agreement or purchase agreement and as contemplated by the Registration Statement and/or the applicable prospectus supplement; (xi) the Company will remain a Delaware corporation; (xii) upon the issuance of any shares of Common Stock, including Common Stock which may be issued upon conversion or exercise of any other Securities convertible into or exercisable for Common Stock (“</w:t>
      </w:r>
      <w:r>
        <w:rPr>
          <w:rFonts w:ascii="Times New Roman" w:hAnsi="Times New Roman"/>
          <w:b/>
          <w:color w:val="000000"/>
          <w:sz w:val="22"/>
        </w:rPr>
        <w:t>Common Securities</w:t>
      </w:r>
      <w:r>
        <w:rPr>
          <w:rFonts w:ascii="Times New Roman" w:hAnsi="Times New Roman"/>
          <w:color w:val="000000"/>
          <w:sz w:val="20"/>
        </w:rPr>
        <w:t>”</w:t>
      </w:r>
      <w:r>
        <w:rPr>
          <w:rFonts w:ascii="Times New Roman" w:hAnsi="Times New Roman"/>
          <w:color w:val="000000"/>
          <w:sz w:val="22"/>
        </w:rPr>
        <w:t>), the total number of shares of Common Stock issued and outstanding will not exceed the total number of shares of Common Stock that the Company is then authorized to issue under the Charter; (xiii) upon the issuance of any Preferred Stock, including Preferred Stock which may be issued upon conversion or exercise of any other Securities convertible into or exercisable for Preferred Stock, the total number of shares of Preferred Stock issued and outstanding, and the total number of issued and outstanding shares of the applicable class or series of Preferred Stock designated pursuant to the Charter, will not exceed the total number of shares of Preferred Stock or the number of shares of such class or series of Preferred Stock that the Company is then authorized to issue under the Charter; (xiv) with respect to any Preferred Stock, a Certificate of Designation relating to the Preferred Stock to be issued by the Company will be adopted by the Board of Directors and the Certificate of Designation will be filed with and accepted for record by the Delaware Secretary of State prior to their issuance; (xv) the terms of the Securities will conform in all material respects to the respective descriptions thereof in the Base Prospectus which is part of the Registration Statement; (xvi) certificates, if required, representing the Securities will be duly executed and delivered and, to the extent required by any applicable agreement, duly authenticated and countersigned; (xvii) the laws of the State of New York will be the governing law with respect to any Warrant Agreement and Unit Agreement; and (xviii) any Securities convertible into or exercisable, exchangeable or redeemable for any other Securities will be duly converted, exercised, exchanged or redeemed in accordance with their terms.</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3746" w:type="dxa"/>
        <w:jc w:val="left"/>
        <w:tblInd w:w="0" w:type="dxa"/>
        <w:tblLayout w:type="fixed"/>
        <w:tblCellMar>
          <w:top w:w="28" w:type="dxa"/>
          <w:left w:w="28" w:type="dxa"/>
          <w:bottom w:w="28" w:type="dxa"/>
          <w:right w:w="28" w:type="dxa"/>
        </w:tblCellMar>
      </w:tblPr>
      <w:tblGrid>
        <w:gridCol w:w="3746"/>
      </w:tblGrid>
      <w:tr>
        <w:trPr/>
        <w:tc>
          <w:tcPr>
            <w:tcW w:w="3746" w:type="dxa"/>
            <w:tcBorders/>
            <w:vAlign w:val="center"/>
          </w:tcPr>
          <w:p>
            <w:pPr>
              <w:pStyle w:val="TableContents"/>
              <w:bidi w:val="0"/>
              <w:spacing w:before="0" w:after="283"/>
              <w:jc w:val="left"/>
              <w:rPr>
                <w:sz w:val="4"/>
                <w:szCs w:val="4"/>
              </w:rPr>
            </w:pPr>
            <w:r>
              <w:rPr>
                <w:sz w:val="4"/>
                <w:szCs w:val="4"/>
              </w:rPr>
            </w:r>
          </w:p>
        </w:tc>
      </w:tr>
      <w:tr>
        <w:trPr/>
        <w:tc>
          <w:tcPr>
            <w:tcW w:w="374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86000" cy="152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7"/>
                          <a:stretch>
                            <a:fillRect/>
                          </a:stretch>
                        </pic:blipFill>
                        <pic:spPr bwMode="auto">
                          <a:xfrm>
                            <a:off x="0" y="0"/>
                            <a:ext cx="2286000" cy="152400"/>
                          </a:xfrm>
                          <a:prstGeom prst="rect">
                            <a:avLst/>
                          </a:prstGeom>
                        </pic:spPr>
                      </pic:pic>
                    </a:graphicData>
                  </a:graphic>
                </wp:inline>
              </w:drawing>
            </w:r>
          </w:p>
        </w:tc>
      </w:tr>
      <w:tr>
        <w:trPr/>
        <w:tc>
          <w:tcPr>
            <w:tcW w:w="37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Carlsmed, Inc.</w:t>
            </w:r>
          </w:p>
        </w:tc>
      </w:tr>
      <w:tr>
        <w:trPr/>
        <w:tc>
          <w:tcPr>
            <w:tcW w:w="3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August 14, 2026</w:t>
            </w:r>
          </w:p>
        </w:tc>
      </w:tr>
      <w:tr>
        <w:trPr/>
        <w:tc>
          <w:tcPr>
            <w:tcW w:w="3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Page Three</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2"/>
        </w:rPr>
        <w:t>To the extent that the obligations of the Company with respect to the Securities may be dependent upon such matters, we assume for purposes of this opinion that, with respect to each instrument or agreement referred to in or otherwise relevant to the opinions set forth herein (each, an “</w:t>
      </w:r>
      <w:r>
        <w:rPr>
          <w:rFonts w:ascii="Times New Roman" w:hAnsi="Times New Roman"/>
          <w:b/>
          <w:color w:val="000000"/>
          <w:sz w:val="22"/>
        </w:rPr>
        <w:t>Instrument</w:t>
      </w:r>
      <w:r>
        <w:rPr>
          <w:rFonts w:ascii="Times New Roman" w:hAnsi="Times New Roman"/>
          <w:color w:val="000000"/>
          <w:sz w:val="20"/>
        </w:rPr>
        <w:t>”</w:t>
      </w:r>
      <w:r>
        <w:rPr>
          <w:rFonts w:ascii="Times New Roman" w:hAnsi="Times New Roman"/>
          <w:color w:val="000000"/>
          <w:sz w:val="22"/>
        </w:rPr>
        <w:t>), that each other party to such Instrument is duly organized, validly existing and in good standing under the laws of its jurisdiction of organization, is duly qualified to engage in the activities contemplated by such Instrument; that such Instrument will have been duly authorized, executed and delivered by the other party and will constitute the legal, valid and binding obligation of the other party enforceable against the other party in accordance with its terms; that such other party will be in compliance with respect to performance of its obligations under the Instrument with all applicable laws and regulations; and that such other party will have the requisite organizational and legal power and authority to perform its obligations under the Instrument.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Based upon, subject to and limited by the foregoing, we are of the opinion that: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1.</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After the Board of Directors has taken appropriate Board Action, the Common Stock will be duly authorized and, when and if issued and delivered in accordance with the Registration Statement and the applicable Board Action and consideration therefor has been received by the Company, the Common Stock will be validly issued, fully paid and nonassessable.</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2.</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After the Board of Directors has taken appropriate Board Action, the Preferred Stock will be duly authorized and, when and if issued and delivered in accordance with the Registration Statement and the applicable Board Action and consideration therefor has been received by the Company, the Preferred Stock will be validly issued, fully paid and nonassessable.</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3.</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After the Board of Directors has taken appropriate Board Action and upon the due execution and delivery of the Applicable Indenture and due authentication of the Debt Securities by the trustee under the Applicable Indenture, the Debt Securities will be duly authorized and, when and if issued and delivered in accordance with the Registration Statement and the applicable Board Action and consideration therefor has been received by the Company, the Debt Securities will constitute valid and binding obligations of the Company.</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4.</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After the Board of Directors has taken appropriate Board Action and upon the due execution and delivery of the Warrant Agreements by the Company and the applicable Warrant Agent and due authentication of the Warrants by such Warrant Agent, the Warrants will be duly authorized and, when and if issued and delivered in accordance with the Registration Statement and the applicable Board Action and consideration therefor has been received by the Company, the Warrants will constitute valid and binding obligations of the Company.</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5.</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After the Board of Directors has taken appropriate Board Action and upon the due execution and delivery of the Unit Agreements, the Units will be duly authorized and, when and if issued and delivered in accordance with the Registration Statement and the applicable Board Action and consideration therefor has been received by the Company, the Units will constitute valid and binding obligations of the Company.</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Our opinion that any document or obligation is legal, valid and binding is qualified as to:</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limitations imposed by bankruptcy, insolvency, reorganization, arrangement, fraudulent conveyance, moratorium or other laws relating to or affecting the rights of creditors generally;</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rights to indemnification and contribution, which may be limited by applicable law or equitable principles; and</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(c)</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general principles of equity, including without limitation concepts of materiality, reasonableness, good faith and fair dealing, and the possible unavailability of specific performance or injunctive relief and limitation of rights of acceleration, regardless of whether such enforceability is considered in a proceeding in equity or at law.</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3746" w:type="dxa"/>
        <w:jc w:val="left"/>
        <w:tblInd w:w="0" w:type="dxa"/>
        <w:tblLayout w:type="fixed"/>
        <w:tblCellMar>
          <w:top w:w="28" w:type="dxa"/>
          <w:left w:w="28" w:type="dxa"/>
          <w:bottom w:w="28" w:type="dxa"/>
          <w:right w:w="28" w:type="dxa"/>
        </w:tblCellMar>
      </w:tblPr>
      <w:tblGrid>
        <w:gridCol w:w="3746"/>
      </w:tblGrid>
      <w:tr>
        <w:trPr/>
        <w:tc>
          <w:tcPr>
            <w:tcW w:w="3746" w:type="dxa"/>
            <w:tcBorders/>
            <w:vAlign w:val="center"/>
          </w:tcPr>
          <w:p>
            <w:pPr>
              <w:pStyle w:val="TableContents"/>
              <w:bidi w:val="0"/>
              <w:spacing w:before="0" w:after="283"/>
              <w:jc w:val="left"/>
              <w:rPr>
                <w:sz w:val="4"/>
                <w:szCs w:val="4"/>
              </w:rPr>
            </w:pPr>
            <w:r>
              <w:rPr>
                <w:sz w:val="4"/>
                <w:szCs w:val="4"/>
              </w:rPr>
            </w:r>
          </w:p>
        </w:tc>
      </w:tr>
      <w:tr>
        <w:trPr/>
        <w:tc>
          <w:tcPr>
            <w:tcW w:w="374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86000" cy="152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8"/>
                          <a:stretch>
                            <a:fillRect/>
                          </a:stretch>
                        </pic:blipFill>
                        <pic:spPr bwMode="auto">
                          <a:xfrm>
                            <a:off x="0" y="0"/>
                            <a:ext cx="2286000" cy="152400"/>
                          </a:xfrm>
                          <a:prstGeom prst="rect">
                            <a:avLst/>
                          </a:prstGeom>
                        </pic:spPr>
                      </pic:pic>
                    </a:graphicData>
                  </a:graphic>
                </wp:inline>
              </w:drawing>
            </w:r>
          </w:p>
        </w:tc>
      </w:tr>
      <w:tr>
        <w:trPr/>
        <w:tc>
          <w:tcPr>
            <w:tcW w:w="37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Carlsmed, Inc.</w:t>
            </w:r>
          </w:p>
        </w:tc>
      </w:tr>
      <w:tr>
        <w:trPr/>
        <w:tc>
          <w:tcPr>
            <w:tcW w:w="3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August 14, 2026</w:t>
            </w:r>
          </w:p>
        </w:tc>
      </w:tr>
      <w:tr>
        <w:trPr/>
        <w:tc>
          <w:tcPr>
            <w:tcW w:w="3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Page Four</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2"/>
        </w:rPr>
        <w:t>This opinion letter is based as to matters of law solely on (i) the Delaware General Corporation Law, as amended, and (ii) applicable provisions of the laws of the State of New York. We express no opinion herein as to any other laws, statutes, ordinances, rules or regulations. As used herein, the term “Delaware General Corporation Law, as amended” includes the statutory provisions contained therein, all applicable provisions of the Delaware Constitution and reported judicial decisions interpreting these laws. As used herein, the term “the laws of the State of New York” include the statutory provisions contained therein, all applicable provisions of the New York Constitution and reported judicial decisions interpreting these laws.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This opinion letter has been prepared for your use in connection with the Registration Statement. We assume no obligation to advise you of any changes in the foregoing subsequent to the effective date of the Registration Statement.</w:t>
      </w:r>
    </w:p>
    <w:p>
      <w:pPr>
        <w:pStyle w:val="TextBody"/>
        <w:bidi w:val="0"/>
        <w:spacing w:before="240" w:after="283"/>
        <w:jc w:val="left"/>
        <w:rPr>
          <w:rFonts w:ascii="Times New Roman" w:hAnsi="Times New Roman"/>
          <w:sz w:val="20"/>
        </w:rPr>
      </w:pPr>
      <w:r>
        <w:rPr>
          <w:rFonts w:ascii="Times New Roman" w:hAnsi="Times New Roman"/>
          <w:color w:val="000000"/>
          <w:sz w:val="22"/>
        </w:rPr>
        <w:t>We hereby consent to the filing of this opinion as Exhibit 5.1 to the Registration Statement with the Commission, and we consent to the reference of our name under the caption “Legal Matters” in the Base Prospectus forming a part of the Registration Statement. In giving such consent, we do not thereby admit that we are in the category of persons whose consent is required under Section 7 of the Securities Act or the rules and regulations of the Commission thereunder.</w:t>
      </w:r>
      <w:r>
        <w:rPr>
          <w:rFonts w:ascii="Times New Roman" w:hAnsi="Times New Roman"/>
          <w:color w:val="000000"/>
          <w:sz w:val="20"/>
        </w:rPr>
        <w:t xml:space="preserve"> </w:t>
      </w:r>
    </w:p>
    <w:p>
      <w:pPr>
        <w:pStyle w:val="TextBody"/>
        <w:bidi w:val="0"/>
        <w:jc w:val="left"/>
        <w:rPr/>
      </w:pPr>
      <w:r>
        <w:rPr/>
        <w:t> </w:t>
      </w:r>
    </w:p>
    <w:tbl>
      <w:tblPr>
        <w:tblW w:w="2791" w:type="dxa"/>
        <w:jc w:val="left"/>
        <w:tblInd w:w="0" w:type="dxa"/>
        <w:tblLayout w:type="fixed"/>
        <w:tblCellMar>
          <w:top w:w="28" w:type="dxa"/>
          <w:left w:w="28" w:type="dxa"/>
          <w:bottom w:w="28" w:type="dxa"/>
          <w:right w:w="28" w:type="dxa"/>
        </w:tblCellMar>
      </w:tblPr>
      <w:tblGrid>
        <w:gridCol w:w="2791"/>
      </w:tblGrid>
      <w:tr>
        <w:trPr/>
        <w:tc>
          <w:tcPr>
            <w:tcW w:w="2791" w:type="dxa"/>
            <w:tcBorders/>
            <w:vAlign w:val="center"/>
          </w:tcPr>
          <w:p>
            <w:pPr>
              <w:pStyle w:val="TableContents"/>
              <w:bidi w:val="0"/>
              <w:spacing w:before="0" w:after="283"/>
              <w:jc w:val="left"/>
              <w:rPr>
                <w:sz w:val="4"/>
                <w:szCs w:val="4"/>
              </w:rPr>
            </w:pPr>
            <w:r>
              <w:rPr>
                <w:sz w:val="4"/>
                <w:szCs w:val="4"/>
              </w:rPr>
            </w:r>
          </w:p>
        </w:tc>
      </w:tr>
      <w:tr>
        <w:trPr/>
        <w:tc>
          <w:tcPr>
            <w:tcW w:w="279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Very truly yours,</w:t>
            </w:r>
          </w:p>
          <w:p>
            <w:pPr>
              <w:pStyle w:val="TableContents"/>
              <w:bidi w:val="0"/>
              <w:jc w:val="left"/>
              <w:rPr/>
            </w:pPr>
            <w:r>
              <w:rPr/>
              <w:t> </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Morrison &amp; Foerster LLP</w:t>
            </w:r>
          </w:p>
        </w:tc>
      </w:tr>
      <w:tr>
        <w:trPr/>
        <w:tc>
          <w:tcPr>
            <w:tcW w:w="279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Morrison &amp; Foerster LLP</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333333"/>
          <w:sz w:val="20"/>
        </w:rPr>
      </w:pPr>
      <w:bookmarkStart w:id="23" w:name="carl-ex23_1.htm"/>
      <w:bookmarkStart w:id="24" w:name="kscarlex23_1"/>
      <w:bookmarkEnd w:id="23"/>
      <w:bookmarkEnd w:id="24"/>
      <w:r>
        <w:rPr>
          <w:rFonts w:ascii="Times New Roman" w:hAnsi="Times New Roman"/>
          <w:b/>
          <w:color w:val="333333"/>
          <w:sz w:val="20"/>
        </w:rPr>
        <w:t>Exhibit 23.1</w:t>
      </w:r>
      <w:r>
        <w:br w:type="page"/>
      </w:r>
    </w:p>
    <w:p>
      <w:pPr>
        <w:pStyle w:val="TextBody"/>
        <w:bidi w:val="0"/>
        <w:jc w:val="center"/>
        <w:rPr/>
      </w:pPr>
      <w:r>
        <w:rPr/>
        <w:t> </w:t>
      </w:r>
    </w:p>
    <w:p>
      <w:pPr>
        <w:pStyle w:val="TextBody"/>
        <w:bidi w:val="0"/>
        <w:jc w:val="center"/>
        <w:rPr>
          <w:rFonts w:ascii="Times New Roman" w:hAnsi="Times New Roman"/>
          <w:b/>
          <w:color w:val="333333"/>
          <w:sz w:val="20"/>
        </w:rPr>
      </w:pPr>
      <w:r>
        <w:rPr>
          <w:rFonts w:ascii="Times New Roman" w:hAnsi="Times New Roman"/>
          <w:b/>
          <w:color w:val="333333"/>
          <w:sz w:val="20"/>
        </w:rPr>
        <w:t>Consent of Independent Registered Public Accounting Firm</w:t>
      </w:r>
    </w:p>
    <w:p>
      <w:pPr>
        <w:pStyle w:val="TextBody"/>
        <w:bidi w:val="0"/>
        <w:jc w:val="center"/>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consent to the reference to our firm under the caption "Experts" in this Registration Statement (Form S-3) and related Prospectus of Carlsmed, Inc. for the registration of common stock, preferred stock, debt securities, warrants, and units and to the incorporation by reference therein of our report dated February 25, 2026, with respect to the financial statements of Carlsmed, Inc. included in its Annual Report (Form 10-K) for the year ended December 31, 2025, filed with the Securities and Exchange Commission.</w:t>
      </w:r>
    </w:p>
    <w:p>
      <w:pPr>
        <w:pStyle w:val="TextBody"/>
        <w:bidi w:val="0"/>
        <w:jc w:val="left"/>
        <w:rPr>
          <w:rFonts w:ascii="Times New Roman" w:hAnsi="Times New Roman"/>
          <w:color w:val="333333"/>
          <w:sz w:val="20"/>
        </w:rPr>
      </w:pPr>
      <w:r>
        <w:rPr>
          <w:rFonts w:ascii="Times New Roman" w:hAnsi="Times New Roman"/>
          <w:color w:val="333333"/>
          <w:sz w:val="20"/>
        </w:rPr>
        <w:t>/s/ Ernst &amp; Young LLP</w:t>
      </w:r>
    </w:p>
    <w:p>
      <w:pPr>
        <w:pStyle w:val="TextBody"/>
        <w:bidi w:val="0"/>
        <w:jc w:val="left"/>
        <w:rPr/>
      </w:pPr>
      <w:r>
        <w:rPr/>
        <w:t> </w:t>
      </w:r>
    </w:p>
    <w:p>
      <w:pPr>
        <w:pStyle w:val="TextBody"/>
        <w:bidi w:val="0"/>
        <w:jc w:val="left"/>
        <w:rPr>
          <w:rFonts w:ascii="Times New Roman" w:hAnsi="Times New Roman"/>
          <w:color w:val="333333"/>
          <w:sz w:val="20"/>
        </w:rPr>
      </w:pPr>
      <w:r>
        <w:rPr>
          <w:rFonts w:ascii="Times New Roman" w:hAnsi="Times New Roman"/>
          <w:color w:val="333333"/>
          <w:sz w:val="20"/>
        </w:rPr>
        <w:t>San Diego, California</w:t>
      </w:r>
    </w:p>
    <w:p>
      <w:pPr>
        <w:pStyle w:val="TextBody"/>
        <w:bidi w:val="0"/>
        <w:jc w:val="left"/>
        <w:rPr>
          <w:rFonts w:ascii="Times New Roman" w:hAnsi="Times New Roman"/>
          <w:color w:val="333333"/>
          <w:sz w:val="20"/>
        </w:rPr>
      </w:pPr>
      <w:r>
        <w:rPr>
          <w:rFonts w:ascii="Times New Roman" w:hAnsi="Times New Roman"/>
          <w:color w:val="333333"/>
          <w:sz w:val="20"/>
        </w:rPr>
        <w:t>August 14, 2026</w:t>
      </w:r>
    </w:p>
    <w:p>
      <w:pPr>
        <w:pStyle w:val="HorizontalLine"/>
        <w:pBdr>
          <w:bottom w:val="double" w:sz="2" w:space="0" w:color="808080"/>
        </w:pBdr>
        <w:bidi w:val="0"/>
        <w:spacing w:before="0" w:after="283"/>
        <w:jc w:val="left"/>
        <w:rPr/>
      </w:pPr>
      <w:r>
        <w:rPr/>
      </w:r>
    </w:p>
    <w:p>
      <w:pPr>
        <w:pStyle w:val="TextBody"/>
        <w:bidi w:val="0"/>
        <w:spacing w:before="0" w:after="200"/>
        <w:jc w:val="right"/>
        <w:rPr>
          <w:rFonts w:ascii="Times New Roman" w:hAnsi="Times New Roman"/>
          <w:b/>
          <w:color w:val="000000"/>
          <w:sz w:val="22"/>
        </w:rPr>
      </w:pPr>
      <w:bookmarkStart w:id="25" w:name="carl_exfilingfees.htm"/>
      <w:bookmarkStart w:id="26" w:name="kscarl_exfilingfees"/>
      <w:bookmarkEnd w:id="25"/>
      <w:bookmarkEnd w:id="26"/>
      <w:r>
        <w:rPr>
          <w:rFonts w:ascii="Times New Roman" w:hAnsi="Times New Roman"/>
          <w:b/>
          <w:color w:val="000000"/>
          <w:sz w:val="22"/>
        </w:rPr>
        <w:t>Exhibit 107</w:t>
      </w:r>
      <w:r>
        <w:br w:type="page"/>
      </w:r>
    </w:p>
    <w:p>
      <w:pPr>
        <w:pStyle w:val="TextBody"/>
        <w:bidi w:val="0"/>
        <w:jc w:val="center"/>
        <w:rPr>
          <w:rFonts w:ascii="Times New Roman" w:hAnsi="Times New Roman"/>
          <w:sz w:val="20"/>
        </w:rPr>
      </w:pPr>
      <w:r>
        <w:rPr>
          <w:rFonts w:ascii="Times New Roman" w:hAnsi="Times New Roman"/>
          <w:b/>
          <w:color w:val="000000"/>
          <w:sz w:val="20"/>
        </w:rPr>
        <w:t>Calculation of Filing Fee</w:t>
      </w:r>
      <w:r>
        <w:rPr>
          <w:rFonts w:ascii="Times New Roman" w:hAnsi="Times New Roman"/>
          <w:color w:val="000000"/>
          <w:sz w:val="20"/>
        </w:rPr>
        <w:t xml:space="preserve"> </w:t>
      </w:r>
      <w:r>
        <w:rPr>
          <w:rFonts w:ascii="Times New Roman" w:hAnsi="Times New Roman"/>
          <w:b/>
          <w:color w:val="000000"/>
          <w:sz w:val="20"/>
        </w:rPr>
        <w:t>Table</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Form S-3</w:t>
      </w:r>
    </w:p>
    <w:p>
      <w:pPr>
        <w:pStyle w:val="TextBody"/>
        <w:bidi w:val="0"/>
        <w:jc w:val="center"/>
        <w:rPr>
          <w:rFonts w:ascii="Times New Roman" w:hAnsi="Times New Roman"/>
          <w:color w:val="000000"/>
          <w:sz w:val="20"/>
        </w:rPr>
      </w:pPr>
      <w:r>
        <w:rPr>
          <w:rFonts w:ascii="Times New Roman" w:hAnsi="Times New Roman"/>
          <w:color w:val="000000"/>
          <w:sz w:val="20"/>
        </w:rPr>
        <w:t>(Form Type)</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Carlsmed,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left"/>
        <w:rPr/>
      </w:pPr>
      <w:r>
        <w:rPr/>
        <w:t> </w:t>
      </w:r>
    </w:p>
    <w:tbl>
      <w:tblPr>
        <w:tblW w:w="8507" w:type="dxa"/>
        <w:jc w:val="left"/>
        <w:tblInd w:w="0" w:type="dxa"/>
        <w:tblLayout w:type="fixed"/>
        <w:tblCellMar>
          <w:top w:w="28" w:type="dxa"/>
          <w:left w:w="28" w:type="dxa"/>
          <w:bottom w:w="28" w:type="dxa"/>
          <w:right w:w="28" w:type="dxa"/>
        </w:tblCellMar>
      </w:tblPr>
      <w:tblGrid>
        <w:gridCol w:w="6466"/>
        <w:gridCol w:w="2041"/>
      </w:tblGrid>
      <w:tr>
        <w:trPr/>
        <w:tc>
          <w:tcPr>
            <w:tcW w:w="646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64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4"/>
              </w:rPr>
            </w:pPr>
            <w:r>
              <w:rPr>
                <w:rFonts w:ascii="Arial" w:hAnsi="Arial"/>
                <w:b/>
                <w:color w:val="000000"/>
                <w:sz w:val="24"/>
              </w:rPr>
              <w:t>Table 1: Newly Registered and Carry Forward Securities</w:t>
            </w:r>
          </w:p>
        </w:tc>
        <w:tc>
          <w:tcPr>
            <w:tcW w:w="2041" w:type="dxa"/>
            <w:tcBorders/>
            <w:tcMar>
              <w:top w:w="0" w:type="dxa"/>
              <w:left w:w="0" w:type="dxa"/>
              <w:bottom w:w="0" w:type="dxa"/>
              <w:right w:w="0" w:type="dxa"/>
            </w:tcMar>
            <w:vAlign w:val="center"/>
          </w:tcPr>
          <w:p>
            <w:pPr>
              <w:pStyle w:val="TableContents"/>
              <w:bidi w:val="0"/>
              <w:spacing w:before="0" w:after="283"/>
              <w:jc w:val="right"/>
              <w:rPr/>
            </w:pPr>
            <w:r>
              <w:rPr>
                <w:color w:val="000000"/>
              </w:rPr>
              <w:t>☐</w:t>
            </w:r>
            <w:r>
              <w:rPr>
                <w:rFonts w:ascii="Arial" w:hAnsi="Arial"/>
                <w:b/>
                <w:color w:val="000000"/>
                <w:sz w:val="24"/>
              </w:rPr>
              <w:t>Not Applicable</w:t>
            </w:r>
          </w:p>
        </w:tc>
      </w:tr>
    </w:tbl>
    <w:p>
      <w:pPr>
        <w:pStyle w:val="TextBody"/>
        <w:bidi w:val="0"/>
        <w:jc w:val="left"/>
        <w:rPr/>
      </w:pPr>
      <w:r>
        <w:rPr/>
        <w:t> </w:t>
      </w:r>
    </w:p>
    <w:tbl>
      <w:tblPr>
        <w:tblW w:w="10487" w:type="dxa"/>
        <w:jc w:val="left"/>
        <w:tblInd w:w="0" w:type="dxa"/>
        <w:tblLayout w:type="fixed"/>
        <w:tblCellMar>
          <w:top w:w="28" w:type="dxa"/>
          <w:left w:w="28" w:type="dxa"/>
          <w:bottom w:w="28" w:type="dxa"/>
          <w:right w:w="28" w:type="dxa"/>
        </w:tblCellMar>
      </w:tblPr>
      <w:tblGrid>
        <w:gridCol w:w="691"/>
        <w:gridCol w:w="631"/>
        <w:gridCol w:w="146"/>
        <w:gridCol w:w="796"/>
        <w:gridCol w:w="146"/>
        <w:gridCol w:w="676"/>
        <w:gridCol w:w="781"/>
        <w:gridCol w:w="721"/>
        <w:gridCol w:w="691"/>
        <w:gridCol w:w="916"/>
        <w:gridCol w:w="736"/>
        <w:gridCol w:w="216"/>
        <w:gridCol w:w="610"/>
        <w:gridCol w:w="146"/>
        <w:gridCol w:w="571"/>
        <w:gridCol w:w="571"/>
        <w:gridCol w:w="616"/>
        <w:gridCol w:w="826"/>
      </w:tblGrid>
      <w:tr>
        <w:trPr/>
        <w:tc>
          <w:tcPr>
            <w:tcW w:w="69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691" w:type="dxa"/>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pPr>
            <w:r>
              <w:rPr/>
              <w:t> </w:t>
            </w:r>
          </w:p>
        </w:tc>
        <w:tc>
          <w:tcPr>
            <w:tcW w:w="631" w:type="dxa"/>
            <w:tcBorders>
              <w:top w:val="single" w:sz="4" w:space="0" w:color="000000"/>
              <w:right w:val="single" w:sz="4" w:space="0" w:color="000000"/>
            </w:tcBorders>
            <w:shd w:fill="FFFFFF" w:val="clear"/>
            <w:tcMar>
              <w:left w:w="0" w:type="dxa"/>
              <w:bottom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96" w:type="dxa"/>
            <w:tcBorders>
              <w:top w:val="single" w:sz="4" w:space="0" w:color="000000"/>
              <w:right w:val="single" w:sz="4" w:space="0" w:color="000000"/>
            </w:tcBorders>
            <w:shd w:fill="FFFFFF" w:val="clear"/>
            <w:tcMar>
              <w:left w:w="0" w:type="dxa"/>
              <w:bottom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76" w:type="dxa"/>
            <w:tcBorders>
              <w:top w:val="single" w:sz="4" w:space="0" w:color="000000"/>
              <w:right w:val="single" w:sz="4" w:space="0" w:color="000000"/>
            </w:tcBorders>
            <w:shd w:fill="FFFFFF" w:val="clear"/>
            <w:tcMar>
              <w:left w:w="0" w:type="dxa"/>
              <w:bottom w:w="0" w:type="dxa"/>
            </w:tcMar>
            <w:vAlign w:val="center"/>
          </w:tcPr>
          <w:p>
            <w:pPr>
              <w:pStyle w:val="TableContents"/>
              <w:bidi w:val="0"/>
              <w:spacing w:before="0" w:after="283"/>
              <w:jc w:val="left"/>
              <w:rPr/>
            </w:pPr>
            <w:r>
              <w:rPr/>
              <w:t> </w:t>
            </w:r>
          </w:p>
        </w:tc>
        <w:tc>
          <w:tcPr>
            <w:tcW w:w="781" w:type="dxa"/>
            <w:tcBorders>
              <w:top w:val="single" w:sz="4" w:space="0" w:color="000000"/>
              <w:right w:val="single" w:sz="4" w:space="0" w:color="000000"/>
            </w:tcBorders>
            <w:shd w:fill="FFFFFF" w:val="clear"/>
            <w:tcMar>
              <w:left w:w="0" w:type="dxa"/>
              <w:bottom w:w="0" w:type="dxa"/>
            </w:tcMar>
            <w:vAlign w:val="center"/>
          </w:tcPr>
          <w:p>
            <w:pPr>
              <w:pStyle w:val="TableContents"/>
              <w:bidi w:val="0"/>
              <w:spacing w:before="0" w:after="283"/>
              <w:jc w:val="left"/>
              <w:rPr/>
            </w:pPr>
            <w:r>
              <w:rPr/>
              <w:t> </w:t>
            </w:r>
          </w:p>
        </w:tc>
        <w:tc>
          <w:tcPr>
            <w:tcW w:w="721" w:type="dxa"/>
            <w:tcBorders>
              <w:top w:val="single" w:sz="4" w:space="0" w:color="000000"/>
              <w:right w:val="single" w:sz="4" w:space="0" w:color="000000"/>
            </w:tcBorders>
            <w:shd w:fill="FFFFFF" w:val="clear"/>
            <w:tcMar>
              <w:left w:w="0" w:type="dxa"/>
              <w:bottom w:w="0" w:type="dxa"/>
            </w:tcMar>
            <w:vAlign w:val="center"/>
          </w:tcPr>
          <w:p>
            <w:pPr>
              <w:pStyle w:val="TableContents"/>
              <w:bidi w:val="0"/>
              <w:spacing w:before="0" w:after="283"/>
              <w:jc w:val="left"/>
              <w:rPr/>
            </w:pPr>
            <w:r>
              <w:rPr/>
              <w:t> </w:t>
            </w:r>
          </w:p>
        </w:tc>
        <w:tc>
          <w:tcPr>
            <w:tcW w:w="691" w:type="dxa"/>
            <w:tcBorders>
              <w:top w:val="single" w:sz="4" w:space="0" w:color="000000"/>
              <w:right w:val="single" w:sz="4" w:space="0" w:color="000000"/>
            </w:tcBorders>
            <w:shd w:fill="FFFFFF" w:val="clear"/>
            <w:tcMar>
              <w:left w:w="0" w:type="dxa"/>
              <w:bottom w:w="0" w:type="dxa"/>
            </w:tcMar>
            <w:vAlign w:val="center"/>
          </w:tcPr>
          <w:p>
            <w:pPr>
              <w:pStyle w:val="TableContents"/>
              <w:bidi w:val="0"/>
              <w:spacing w:before="0" w:after="283"/>
              <w:jc w:val="left"/>
              <w:rPr/>
            </w:pPr>
            <w:r>
              <w:rPr/>
              <w:t> </w:t>
            </w:r>
          </w:p>
        </w:tc>
        <w:tc>
          <w:tcPr>
            <w:tcW w:w="916" w:type="dxa"/>
            <w:tcBorders>
              <w:top w:val="single" w:sz="4" w:space="0" w:color="000000"/>
              <w:right w:val="single" w:sz="4" w:space="0" w:color="000000"/>
            </w:tcBorders>
            <w:shd w:fill="FFFFFF" w:val="clear"/>
            <w:tcMar>
              <w:left w:w="0" w:type="dxa"/>
              <w:bottom w:w="0" w:type="dxa"/>
            </w:tcMar>
            <w:vAlign w:val="center"/>
          </w:tcPr>
          <w:p>
            <w:pPr>
              <w:pStyle w:val="TableContents"/>
              <w:bidi w:val="0"/>
              <w:spacing w:before="0" w:after="283"/>
              <w:jc w:val="left"/>
              <w:rPr/>
            </w:pPr>
            <w:r>
              <w:rPr/>
              <w:t> </w:t>
            </w:r>
          </w:p>
        </w:tc>
        <w:tc>
          <w:tcPr>
            <w:tcW w:w="736" w:type="dxa"/>
            <w:tcBorders>
              <w:top w:val="single" w:sz="4" w:space="0" w:color="000000"/>
              <w:right w:val="single" w:sz="4" w:space="0" w:color="000000"/>
            </w:tcBorders>
            <w:shd w:fill="FFFFFF" w:val="clear"/>
            <w:tcMar>
              <w:left w:w="0" w:type="dxa"/>
              <w:bottom w:w="0" w:type="dxa"/>
            </w:tcMar>
            <w:vAlign w:val="center"/>
          </w:tcPr>
          <w:p>
            <w:pPr>
              <w:pStyle w:val="TableContents"/>
              <w:bidi w:val="0"/>
              <w:spacing w:before="0" w:after="283"/>
              <w:jc w:val="left"/>
              <w:rPr/>
            </w:pPr>
            <w:r>
              <w:rPr/>
              <w:t> </w:t>
            </w:r>
          </w:p>
        </w:tc>
        <w:tc>
          <w:tcPr>
            <w:tcW w:w="826"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right w:val="single" w:sz="4" w:space="0" w:color="000000"/>
            </w:tcBorders>
            <w:shd w:fill="FFFFFF" w:val="clear"/>
            <w:tcMar>
              <w:left w:w="0" w:type="dxa"/>
              <w:bottom w:w="0" w:type="dxa"/>
            </w:tcMar>
            <w:vAlign w:val="center"/>
          </w:tcPr>
          <w:p>
            <w:pPr>
              <w:pStyle w:val="TableContents"/>
              <w:bidi w:val="0"/>
              <w:spacing w:before="0" w:after="283"/>
              <w:jc w:val="left"/>
              <w:rPr/>
            </w:pPr>
            <w:r>
              <w:rPr/>
              <w:t> </w:t>
            </w:r>
          </w:p>
        </w:tc>
        <w:tc>
          <w:tcPr>
            <w:tcW w:w="571" w:type="dxa"/>
            <w:tcBorders>
              <w:top w:val="single" w:sz="4" w:space="0" w:color="000000"/>
              <w:right w:val="single" w:sz="4" w:space="0" w:color="000000"/>
            </w:tcBorders>
            <w:shd w:fill="FFFFFF" w:val="clear"/>
            <w:tcMar>
              <w:left w:w="0" w:type="dxa"/>
              <w:bottom w:w="0" w:type="dxa"/>
            </w:tcMar>
            <w:vAlign w:val="center"/>
          </w:tcPr>
          <w:p>
            <w:pPr>
              <w:pStyle w:val="TableContents"/>
              <w:bidi w:val="0"/>
              <w:spacing w:before="0" w:after="283"/>
              <w:jc w:val="left"/>
              <w:rPr/>
            </w:pPr>
            <w:r>
              <w:rPr/>
              <w:t> </w:t>
            </w:r>
          </w:p>
        </w:tc>
        <w:tc>
          <w:tcPr>
            <w:tcW w:w="571" w:type="dxa"/>
            <w:tcBorders>
              <w:top w:val="single" w:sz="4" w:space="0" w:color="000000"/>
              <w:right w:val="single" w:sz="4" w:space="0" w:color="000000"/>
            </w:tcBorders>
            <w:shd w:fill="FFFFFF" w:val="clear"/>
            <w:tcMar>
              <w:left w:w="0" w:type="dxa"/>
              <w:bottom w:w="0" w:type="dxa"/>
            </w:tcMar>
            <w:vAlign w:val="center"/>
          </w:tcPr>
          <w:p>
            <w:pPr>
              <w:pStyle w:val="TableContents"/>
              <w:bidi w:val="0"/>
              <w:spacing w:before="0" w:after="283"/>
              <w:jc w:val="left"/>
              <w:rPr/>
            </w:pPr>
            <w:r>
              <w:rPr/>
              <w:t> </w:t>
            </w:r>
          </w:p>
        </w:tc>
        <w:tc>
          <w:tcPr>
            <w:tcW w:w="616" w:type="dxa"/>
            <w:tcBorders>
              <w:top w:val="single" w:sz="4" w:space="0" w:color="000000"/>
              <w:right w:val="single" w:sz="4" w:space="0" w:color="000000"/>
            </w:tcBorders>
            <w:shd w:fill="FFFFFF" w:val="clear"/>
            <w:tcMar>
              <w:left w:w="0" w:type="dxa"/>
              <w:bottom w:w="0" w:type="dxa"/>
            </w:tcMar>
            <w:vAlign w:val="center"/>
          </w:tcPr>
          <w:p>
            <w:pPr>
              <w:pStyle w:val="TableContents"/>
              <w:bidi w:val="0"/>
              <w:spacing w:before="0" w:after="283"/>
              <w:jc w:val="left"/>
              <w:rPr/>
            </w:pPr>
            <w:r>
              <w:rPr/>
              <w:t> </w:t>
            </w:r>
          </w:p>
        </w:tc>
        <w:tc>
          <w:tcPr>
            <w:tcW w:w="826" w:type="dxa"/>
            <w:tcBorders>
              <w:top w:val="single" w:sz="4" w:space="0" w:color="000000"/>
              <w:right w:val="single" w:sz="4" w:space="0" w:color="000000"/>
            </w:tcBorders>
            <w:shd w:fill="FFFFFF" w:val="clear"/>
            <w:tcMar>
              <w:left w:w="0" w:type="dxa"/>
              <w:bottom w:w="0" w:type="dxa"/>
            </w:tcMar>
            <w:vAlign w:val="center"/>
          </w:tcPr>
          <w:p>
            <w:pPr>
              <w:pStyle w:val="TableContents"/>
              <w:bidi w:val="0"/>
              <w:spacing w:before="0" w:after="283"/>
              <w:jc w:val="left"/>
              <w:rPr/>
            </w:pPr>
            <w:r>
              <w:rPr/>
              <w:t> </w:t>
            </w:r>
          </w:p>
        </w:tc>
      </w:tr>
      <w:tr>
        <w:trPr/>
        <w:tc>
          <w:tcPr>
            <w:tcW w:w="69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pPr>
            <w:r>
              <w:rPr/>
              <w:t> </w:t>
            </w:r>
          </w:p>
        </w:tc>
        <w:tc>
          <w:tcPr>
            <w:tcW w:w="63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Footnote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Security Type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Security</w:t>
              <w:br/>
              <w:t>Class Title</w:t>
            </w:r>
          </w:p>
        </w:tc>
        <w:tc>
          <w:tcPr>
            <w:tcW w:w="7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Fee</w:t>
              <w:br/>
              <w:t>Calculation</w:t>
              <w:br/>
              <w:t>or Carry</w:t>
              <w:br/>
              <w:t>Forward Rule</w:t>
            </w:r>
          </w:p>
        </w:tc>
        <w:tc>
          <w:tcPr>
            <w:tcW w:w="72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Amount</w:t>
              <w:br/>
              <w:t>Registered</w:t>
            </w:r>
          </w:p>
        </w:tc>
        <w:tc>
          <w:tcPr>
            <w:tcW w:w="6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Proposed</w:t>
              <w:br/>
              <w:t>Maximum</w:t>
              <w:br/>
              <w:t>Offering</w:t>
              <w:br/>
              <w:t>Price</w:t>
              <w:br/>
              <w:t>Per Unit</w:t>
            </w:r>
          </w:p>
        </w:tc>
        <w:tc>
          <w:tcPr>
            <w:tcW w:w="9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Maximum</w:t>
              <w:br/>
              <w:t>Aggregate</w:t>
              <w:br/>
              <w:t>Offering Price</w:t>
            </w:r>
          </w:p>
        </w:tc>
        <w:tc>
          <w:tcPr>
            <w:tcW w:w="73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Fee Rate</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Amount of</w:t>
              <w:br/>
              <w:t>Registration</w:t>
              <w:br/>
              <w:t>Fee</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5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Carry</w:t>
              <w:br/>
              <w:t>Forward</w:t>
              <w:br/>
              <w:t>Form</w:t>
              <w:br/>
              <w:t>Type</w:t>
            </w:r>
          </w:p>
        </w:tc>
        <w:tc>
          <w:tcPr>
            <w:tcW w:w="5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Carry</w:t>
              <w:br/>
              <w:t>Forward</w:t>
              <w:br/>
              <w:t>File</w:t>
              <w:br/>
              <w:t>Number</w:t>
            </w:r>
          </w:p>
        </w:tc>
        <w:tc>
          <w:tcPr>
            <w:tcW w:w="6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Carry</w:t>
              <w:br/>
              <w:t>Forward</w:t>
              <w:br/>
              <w:t>Initial</w:t>
              <w:br/>
              <w:t>Effective</w:t>
              <w:br/>
              <w:t>Date</w:t>
            </w:r>
          </w:p>
        </w:tc>
        <w:tc>
          <w:tcPr>
            <w:tcW w:w="8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Filing Fee</w:t>
              <w:br/>
              <w:t>Previously</w:t>
              <w:br/>
              <w:t>Paid in</w:t>
              <w:br/>
              <w:t>Connection</w:t>
              <w:br/>
              <w:t>with Unsold</w:t>
              <w:br/>
              <w:t>Securities to</w:t>
              <w:br/>
              <w:t>be Carried</w:t>
              <w:br/>
              <w:t>Forward</w:t>
            </w:r>
          </w:p>
        </w:tc>
      </w:tr>
      <w:tr>
        <w:trPr/>
        <w:tc>
          <w:tcPr>
            <w:tcW w:w="69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pPr>
            <w:r>
              <w:rPr/>
              <w:t> </w:t>
            </w:r>
          </w:p>
        </w:tc>
        <w:tc>
          <w:tcPr>
            <w:tcW w:w="63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6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57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57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6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69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pPr>
            <w:r>
              <w:rPr/>
              <w:t> </w:t>
            </w:r>
          </w:p>
        </w:tc>
        <w:tc>
          <w:tcPr>
            <w:tcW w:w="7066" w:type="dxa"/>
            <w:gridSpan w:val="1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5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5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69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pPr>
            <w:r>
              <w:rPr/>
              <w:t> </w:t>
            </w:r>
          </w:p>
        </w:tc>
        <w:tc>
          <w:tcPr>
            <w:tcW w:w="7066"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Newly Registered Securities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5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5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69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pPr>
            <w:r>
              <w:rPr/>
              <w:t> </w:t>
            </w:r>
          </w:p>
        </w:tc>
        <w:tc>
          <w:tcPr>
            <w:tcW w:w="7066"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57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57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6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69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pPr>
            <w:r>
              <w:rPr/>
              <w:t> </w:t>
            </w:r>
          </w:p>
        </w:tc>
        <w:tc>
          <w:tcPr>
            <w:tcW w:w="63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2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9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3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5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5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69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Fees to</w:t>
              <w:br/>
              <w:t>Be Paid</w:t>
            </w:r>
          </w:p>
        </w:tc>
        <w:tc>
          <w:tcPr>
            <w:tcW w:w="63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 par value $0.00001 per share</w:t>
            </w:r>
          </w:p>
        </w:tc>
        <w:tc>
          <w:tcPr>
            <w:tcW w:w="7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457(o)</w:t>
            </w:r>
          </w:p>
        </w:tc>
        <w:tc>
          <w:tcPr>
            <w:tcW w:w="72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6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9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73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5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5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69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pPr>
            <w:r>
              <w:rPr/>
              <w:t> </w:t>
            </w:r>
          </w:p>
        </w:tc>
        <w:tc>
          <w:tcPr>
            <w:tcW w:w="63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6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57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57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6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69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pPr>
            <w:r>
              <w:rPr/>
              <w:t> </w:t>
            </w:r>
          </w:p>
        </w:tc>
        <w:tc>
          <w:tcPr>
            <w:tcW w:w="63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7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2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9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3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5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5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69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pPr>
            <w:r>
              <w:rPr/>
              <w:t> </w:t>
            </w:r>
          </w:p>
        </w:tc>
        <w:tc>
          <w:tcPr>
            <w:tcW w:w="63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Preferred Stock, par value $0.00001 per share</w:t>
            </w:r>
          </w:p>
        </w:tc>
        <w:tc>
          <w:tcPr>
            <w:tcW w:w="7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457(o)</w:t>
            </w:r>
          </w:p>
        </w:tc>
        <w:tc>
          <w:tcPr>
            <w:tcW w:w="72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6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9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73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5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5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69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pPr>
            <w:r>
              <w:rPr/>
              <w:t> </w:t>
            </w:r>
          </w:p>
        </w:tc>
        <w:tc>
          <w:tcPr>
            <w:tcW w:w="63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6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57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57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6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69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pPr>
            <w:r>
              <w:rPr/>
              <w:t> </w:t>
            </w:r>
          </w:p>
        </w:tc>
        <w:tc>
          <w:tcPr>
            <w:tcW w:w="63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7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2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9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3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5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5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69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pPr>
            <w:r>
              <w:rPr/>
              <w:t> </w:t>
            </w:r>
          </w:p>
        </w:tc>
        <w:tc>
          <w:tcPr>
            <w:tcW w:w="63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Debt Securities</w:t>
            </w:r>
          </w:p>
        </w:tc>
        <w:tc>
          <w:tcPr>
            <w:tcW w:w="7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457(o)</w:t>
            </w:r>
          </w:p>
        </w:tc>
        <w:tc>
          <w:tcPr>
            <w:tcW w:w="72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6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9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73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5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5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69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pPr>
            <w:r>
              <w:rPr/>
              <w:t> </w:t>
            </w:r>
          </w:p>
        </w:tc>
        <w:tc>
          <w:tcPr>
            <w:tcW w:w="63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6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57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57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6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69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pPr>
            <w:r>
              <w:rPr/>
              <w:t> </w:t>
            </w:r>
          </w:p>
        </w:tc>
        <w:tc>
          <w:tcPr>
            <w:tcW w:w="63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7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2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9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3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5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5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69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pPr>
            <w:r>
              <w:rPr/>
              <w:t> </w:t>
            </w:r>
          </w:p>
        </w:tc>
        <w:tc>
          <w:tcPr>
            <w:tcW w:w="63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7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457(o)</w:t>
            </w:r>
          </w:p>
        </w:tc>
        <w:tc>
          <w:tcPr>
            <w:tcW w:w="72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6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9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73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5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5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69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pPr>
            <w:r>
              <w:rPr/>
              <w:t> </w:t>
            </w:r>
          </w:p>
        </w:tc>
        <w:tc>
          <w:tcPr>
            <w:tcW w:w="63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6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57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57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6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69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pPr>
            <w:r>
              <w:rPr/>
              <w:t> </w:t>
            </w:r>
          </w:p>
        </w:tc>
        <w:tc>
          <w:tcPr>
            <w:tcW w:w="63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7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2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9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3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5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5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69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pPr>
            <w:r>
              <w:rPr/>
              <w:t> </w:t>
            </w:r>
          </w:p>
        </w:tc>
        <w:tc>
          <w:tcPr>
            <w:tcW w:w="63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Units</w:t>
            </w:r>
          </w:p>
        </w:tc>
        <w:tc>
          <w:tcPr>
            <w:tcW w:w="7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457(o)</w:t>
            </w:r>
          </w:p>
        </w:tc>
        <w:tc>
          <w:tcPr>
            <w:tcW w:w="72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6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9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73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5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5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69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pPr>
            <w:r>
              <w:rPr/>
              <w:t> </w:t>
            </w:r>
          </w:p>
        </w:tc>
        <w:tc>
          <w:tcPr>
            <w:tcW w:w="63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6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57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57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6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69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pPr>
            <w:r>
              <w:rPr/>
              <w:t> </w:t>
            </w:r>
          </w:p>
        </w:tc>
        <w:tc>
          <w:tcPr>
            <w:tcW w:w="63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7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2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9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3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5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5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69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pPr>
            <w:r>
              <w:rPr/>
              <w:t> </w:t>
            </w:r>
          </w:p>
        </w:tc>
        <w:tc>
          <w:tcPr>
            <w:tcW w:w="63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Unallocated (Universal) Shelf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7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457(o)</w:t>
            </w:r>
          </w:p>
        </w:tc>
        <w:tc>
          <w:tcPr>
            <w:tcW w:w="72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6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9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$250,000,000</w:t>
            </w:r>
          </w:p>
        </w:tc>
        <w:tc>
          <w:tcPr>
            <w:tcW w:w="73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0.0001381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34,525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5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5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69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pPr>
            <w:r>
              <w:rPr/>
              <w:t> </w:t>
            </w:r>
          </w:p>
        </w:tc>
        <w:tc>
          <w:tcPr>
            <w:tcW w:w="63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6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57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57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6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69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pPr>
            <w:r>
              <w:rPr/>
              <w:t> </w:t>
            </w:r>
          </w:p>
        </w:tc>
        <w:tc>
          <w:tcPr>
            <w:tcW w:w="7066" w:type="dxa"/>
            <w:gridSpan w:val="1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5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5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69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pPr>
            <w:r>
              <w:rPr/>
              <w:t> </w:t>
            </w:r>
          </w:p>
        </w:tc>
        <w:tc>
          <w:tcPr>
            <w:tcW w:w="7066"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Carry Forward Securities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5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5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69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pPr>
            <w:r>
              <w:rPr/>
              <w:t> </w:t>
            </w:r>
          </w:p>
        </w:tc>
        <w:tc>
          <w:tcPr>
            <w:tcW w:w="7066"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57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57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6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69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pPr>
            <w:r>
              <w:rPr/>
              <w:t> </w:t>
            </w:r>
          </w:p>
        </w:tc>
        <w:tc>
          <w:tcPr>
            <w:tcW w:w="63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2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9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3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5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5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69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Carry</w:t>
              <w:br/>
              <w:t>Forward</w:t>
              <w:br/>
              <w:t>Securities</w:t>
            </w:r>
          </w:p>
        </w:tc>
        <w:tc>
          <w:tcPr>
            <w:tcW w:w="63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942" w:type="dxa"/>
            <w:gridSpan w:val="2"/>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822" w:type="dxa"/>
            <w:gridSpan w:val="2"/>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7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72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6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9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3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5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5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69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pPr>
            <w:r>
              <w:rPr/>
              <w:t> </w:t>
            </w:r>
          </w:p>
        </w:tc>
        <w:tc>
          <w:tcPr>
            <w:tcW w:w="63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6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9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57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57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6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69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pPr>
            <w:r>
              <w:rPr/>
              <w:t> </w:t>
            </w:r>
          </w:p>
        </w:tc>
        <w:tc>
          <w:tcPr>
            <w:tcW w:w="63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0" w:type="dxa"/>
            <w:gridSpan w:val="5"/>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9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3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5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5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69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pPr>
            <w:r>
              <w:rPr/>
              <w:t> </w:t>
            </w:r>
          </w:p>
        </w:tc>
        <w:tc>
          <w:tcPr>
            <w:tcW w:w="63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0" w:type="dxa"/>
            <w:gridSpan w:val="5"/>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 Offering Amounts</w:t>
            </w:r>
          </w:p>
        </w:tc>
        <w:tc>
          <w:tcPr>
            <w:tcW w:w="6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9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$250,000,000</w:t>
            </w:r>
          </w:p>
        </w:tc>
        <w:tc>
          <w:tcPr>
            <w:tcW w:w="73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0.0001381</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$34,525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5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5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69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pPr>
            <w:r>
              <w:rPr/>
              <w:t> </w:t>
            </w:r>
          </w:p>
        </w:tc>
        <w:tc>
          <w:tcPr>
            <w:tcW w:w="63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0" w:type="dxa"/>
            <w:gridSpan w:val="5"/>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6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57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57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6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69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pPr>
            <w:r>
              <w:rPr/>
              <w:t> </w:t>
            </w:r>
          </w:p>
        </w:tc>
        <w:tc>
          <w:tcPr>
            <w:tcW w:w="63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0" w:type="dxa"/>
            <w:gridSpan w:val="5"/>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9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3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5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5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69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pPr>
            <w:r>
              <w:rPr/>
              <w:t> </w:t>
            </w:r>
          </w:p>
        </w:tc>
        <w:tc>
          <w:tcPr>
            <w:tcW w:w="63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0" w:type="dxa"/>
            <w:gridSpan w:val="5"/>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Fees Previously Paid</w:t>
            </w:r>
          </w:p>
        </w:tc>
        <w:tc>
          <w:tcPr>
            <w:tcW w:w="6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9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3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5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5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69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pPr>
            <w:r>
              <w:rPr/>
              <w:t> </w:t>
            </w:r>
          </w:p>
        </w:tc>
        <w:tc>
          <w:tcPr>
            <w:tcW w:w="63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0" w:type="dxa"/>
            <w:gridSpan w:val="5"/>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6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57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57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6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69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pPr>
            <w:r>
              <w:rPr/>
              <w:t> </w:t>
            </w:r>
          </w:p>
        </w:tc>
        <w:tc>
          <w:tcPr>
            <w:tcW w:w="63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0" w:type="dxa"/>
            <w:gridSpan w:val="5"/>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9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3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5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5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69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pPr>
            <w:r>
              <w:rPr/>
              <w:t> </w:t>
            </w:r>
          </w:p>
        </w:tc>
        <w:tc>
          <w:tcPr>
            <w:tcW w:w="63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0" w:type="dxa"/>
            <w:gridSpan w:val="5"/>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Fee Offsets</w:t>
            </w:r>
          </w:p>
        </w:tc>
        <w:tc>
          <w:tcPr>
            <w:tcW w:w="6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9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3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5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5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69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pPr>
            <w:r>
              <w:rPr/>
              <w:t> </w:t>
            </w:r>
          </w:p>
        </w:tc>
        <w:tc>
          <w:tcPr>
            <w:tcW w:w="63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0" w:type="dxa"/>
            <w:gridSpan w:val="5"/>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6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57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57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6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69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pPr>
            <w:r>
              <w:rPr/>
              <w:t> </w:t>
            </w:r>
          </w:p>
        </w:tc>
        <w:tc>
          <w:tcPr>
            <w:tcW w:w="63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0" w:type="dxa"/>
            <w:gridSpan w:val="5"/>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9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3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5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5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69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pPr>
            <w:r>
              <w:rPr/>
              <w:t> </w:t>
            </w:r>
          </w:p>
        </w:tc>
        <w:tc>
          <w:tcPr>
            <w:tcW w:w="63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0" w:type="dxa"/>
            <w:gridSpan w:val="5"/>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Net Fee Due</w:t>
            </w:r>
          </w:p>
        </w:tc>
        <w:tc>
          <w:tcPr>
            <w:tcW w:w="6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9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3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$34,525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5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57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69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63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0" w:type="dxa"/>
            <w:gridSpan w:val="5"/>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6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9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57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57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8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pPr>
      <w:r>
        <w:rPr>
          <w:rFonts w:ascii="Times New Roman" w:hAnsi="Times New Roman"/>
          <w:color w:val="000000"/>
          <w:sz w:val="20"/>
        </w:rPr>
        <w:t>This registration statement covers such indeterminate number of shares of securities of each identified class, as may be registered from time to time, having an aggregate initial offering price not to exceed $250,000,000. The securities registered hereunder are to be issued from time to time at prices to be determined. Pursuant to Rule 416 under the Securities Act of 1933, as amended (the “</w:t>
      </w:r>
      <w:r>
        <w:rPr>
          <w:rFonts w:ascii="Times New Roman" w:hAnsi="Times New Roman"/>
          <w:b/>
          <w:color w:val="000000"/>
          <w:sz w:val="20"/>
        </w:rPr>
        <w:t>Securities Act</w:t>
      </w:r>
      <w:r>
        <w:rPr>
          <w:color w:val="000000"/>
        </w:rPr>
        <w:t>”</w:t>
      </w:r>
      <w:r>
        <w:rPr>
          <w:rFonts w:ascii="Times New Roman" w:hAnsi="Times New Roman"/>
          <w:color w:val="000000"/>
          <w:sz w:val="20"/>
        </w:rPr>
        <w:t>), this registration statement shall also cover any additional securities of the registrant that become issuable by reason of any splits, dividends or similar transactions or anti-dilution adjustments.</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proposed maximum aggregate offering price has been estimated solely for the purpose of calculating the registration fee. With respect to the primary offering, the amount registered is not specified as to each class of securities to be registered hereunder pursuant to Instruction 2.A.iii.b. of Item 16(b) of Form S-3 under the Securities 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 separate consideration will be received for securities that are issued upon conversion of, or exchange for, preferred stock or debt securities, or upon exercise of warrants registered hereunder. The aggregate maximum offering price of all securities issued pursuant to this registration statement will not exceed $250,000,000.</w:t>
      </w:r>
    </w:p>
    <w:p>
      <w:pPr>
        <w:pStyle w:val="TextBody"/>
        <w:bidi w:val="0"/>
        <w:jc w:val="both"/>
        <w:rPr/>
      </w:pPr>
      <w:r>
        <w:rPr/>
        <w:t> </w:t>
      </w:r>
    </w:p>
    <w:tbl>
      <w:tblPr>
        <w:tblW w:w="6632" w:type="dxa"/>
        <w:jc w:val="left"/>
        <w:tblInd w:w="0" w:type="dxa"/>
        <w:tblLayout w:type="fixed"/>
        <w:tblCellMar>
          <w:top w:w="28" w:type="dxa"/>
          <w:left w:w="28" w:type="dxa"/>
          <w:bottom w:w="28" w:type="dxa"/>
          <w:right w:w="28" w:type="dxa"/>
        </w:tblCellMar>
      </w:tblPr>
      <w:tblGrid>
        <w:gridCol w:w="4591"/>
        <w:gridCol w:w="2041"/>
      </w:tblGrid>
      <w:tr>
        <w:trPr/>
        <w:tc>
          <w:tcPr>
            <w:tcW w:w="4591"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459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4"/>
              </w:rPr>
            </w:pPr>
            <w:r>
              <w:rPr>
                <w:rFonts w:ascii="Arial" w:hAnsi="Arial"/>
                <w:b/>
                <w:color w:val="000000"/>
                <w:sz w:val="24"/>
              </w:rPr>
              <w:t>Table 2: Fee Offset Claims and Sources</w:t>
            </w:r>
          </w:p>
        </w:tc>
        <w:tc>
          <w:tcPr>
            <w:tcW w:w="2041" w:type="dxa"/>
            <w:tcBorders/>
            <w:tcMar>
              <w:top w:w="0" w:type="dxa"/>
              <w:left w:w="0" w:type="dxa"/>
              <w:bottom w:w="0" w:type="dxa"/>
              <w:right w:w="0" w:type="dxa"/>
            </w:tcMar>
            <w:vAlign w:val="center"/>
          </w:tcPr>
          <w:p>
            <w:pPr>
              <w:pStyle w:val="TableContents"/>
              <w:bidi w:val="0"/>
              <w:spacing w:before="0" w:after="283"/>
              <w:jc w:val="right"/>
              <w:rPr/>
            </w:pPr>
            <w:r>
              <w:rPr>
                <w:color w:val="000000"/>
              </w:rPr>
              <w:t>☑</w:t>
            </w:r>
            <w:r>
              <w:rPr>
                <w:rFonts w:ascii="Arial" w:hAnsi="Arial"/>
                <w:b/>
                <w:color w:val="000000"/>
                <w:sz w:val="24"/>
              </w:rPr>
              <w:t>Not Applicable</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2"/>
        <w:gridCol w:w="146"/>
        <w:gridCol w:w="832"/>
        <w:gridCol w:w="731"/>
        <w:gridCol w:w="770"/>
        <w:gridCol w:w="794"/>
        <w:gridCol w:w="706"/>
        <w:gridCol w:w="661"/>
        <w:gridCol w:w="925"/>
        <w:gridCol w:w="925"/>
        <w:gridCol w:w="1064"/>
        <w:gridCol w:w="1115"/>
        <w:gridCol w:w="864"/>
      </w:tblGrid>
      <w:tr>
        <w:trPr/>
        <w:tc>
          <w:tcPr>
            <w:tcW w:w="6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672" w:type="dxa"/>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center"/>
              <w:rPr/>
            </w:pPr>
            <w:r>
              <w:rPr/>
              <w:t> </w:t>
            </w:r>
          </w:p>
        </w:tc>
        <w:tc>
          <w:tcPr>
            <w:tcW w:w="146" w:type="dxa"/>
            <w:tcBorders>
              <w:top w:val="single" w:sz="4" w:space="0" w:color="000000"/>
              <w:right w:val="single" w:sz="4" w:space="0" w:color="000000"/>
            </w:tcBorders>
            <w:shd w:fill="FFFFFF" w:val="clear"/>
            <w:tcMar>
              <w:left w:w="0" w:type="dxa"/>
              <w:bottom w:w="0" w:type="dxa"/>
            </w:tcMar>
            <w:vAlign w:val="center"/>
          </w:tcPr>
          <w:p>
            <w:pPr>
              <w:pStyle w:val="TableContents"/>
              <w:bidi w:val="0"/>
              <w:spacing w:before="0" w:after="283"/>
              <w:jc w:val="center"/>
              <w:rPr/>
            </w:pPr>
            <w:r>
              <w:rPr/>
              <w:t> </w:t>
            </w:r>
          </w:p>
        </w:tc>
        <w:tc>
          <w:tcPr>
            <w:tcW w:w="832" w:type="dxa"/>
            <w:tcBorders>
              <w:top w:val="single" w:sz="4" w:space="0" w:color="000000"/>
              <w:right w:val="single" w:sz="4" w:space="0" w:color="000000"/>
            </w:tcBorders>
            <w:shd w:fill="FFFFFF" w:val="clear"/>
            <w:tcMar>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Registrant or</w:t>
              <w:br/>
              <w:t>Filer Name</w:t>
            </w:r>
          </w:p>
        </w:tc>
        <w:tc>
          <w:tcPr>
            <w:tcW w:w="731" w:type="dxa"/>
            <w:tcBorders>
              <w:top w:val="single" w:sz="4" w:space="0" w:color="000000"/>
              <w:right w:val="single" w:sz="4" w:space="0" w:color="000000"/>
            </w:tcBorders>
            <w:shd w:fill="FFFFFF" w:val="clear"/>
            <w:tcMar>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Form or</w:t>
              <w:br/>
              <w:t>Filing Type</w:t>
            </w:r>
          </w:p>
        </w:tc>
        <w:tc>
          <w:tcPr>
            <w:tcW w:w="770" w:type="dxa"/>
            <w:tcBorders>
              <w:top w:val="single" w:sz="4" w:space="0" w:color="000000"/>
              <w:right w:val="single" w:sz="4" w:space="0" w:color="000000"/>
            </w:tcBorders>
            <w:shd w:fill="FFFFFF" w:val="clear"/>
            <w:tcMar>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File Number</w:t>
            </w:r>
          </w:p>
        </w:tc>
        <w:tc>
          <w:tcPr>
            <w:tcW w:w="794" w:type="dxa"/>
            <w:tcBorders>
              <w:top w:val="single" w:sz="4" w:space="0" w:color="000000"/>
              <w:right w:val="single" w:sz="4" w:space="0" w:color="000000"/>
            </w:tcBorders>
            <w:shd w:fill="FFFFFF" w:val="clear"/>
            <w:tcMar>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Initial Filing</w:t>
              <w:br/>
              <w:t>Date</w:t>
            </w:r>
          </w:p>
        </w:tc>
        <w:tc>
          <w:tcPr>
            <w:tcW w:w="706" w:type="dxa"/>
            <w:tcBorders>
              <w:top w:val="single" w:sz="4" w:space="0" w:color="000000"/>
              <w:right w:val="single" w:sz="4" w:space="0" w:color="000000"/>
            </w:tcBorders>
            <w:shd w:fill="FFFFFF" w:val="clear"/>
            <w:tcMar>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Filing Date</w:t>
            </w:r>
          </w:p>
        </w:tc>
        <w:tc>
          <w:tcPr>
            <w:tcW w:w="661" w:type="dxa"/>
            <w:tcBorders>
              <w:top w:val="single" w:sz="4" w:space="0" w:color="000000"/>
              <w:right w:val="single" w:sz="4" w:space="0" w:color="000000"/>
            </w:tcBorders>
            <w:shd w:fill="FFFFFF" w:val="clear"/>
            <w:tcMar>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Fee Offset</w:t>
              <w:br/>
              <w:t>Claimed</w:t>
            </w:r>
          </w:p>
        </w:tc>
        <w:tc>
          <w:tcPr>
            <w:tcW w:w="925" w:type="dxa"/>
            <w:tcBorders>
              <w:top w:val="single" w:sz="4" w:space="0" w:color="000000"/>
              <w:right w:val="single" w:sz="4" w:space="0" w:color="000000"/>
            </w:tcBorders>
            <w:shd w:fill="FFFFFF" w:val="clear"/>
            <w:tcMar>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Security Type</w:t>
              <w:br/>
              <w:t>Associated</w:t>
              <w:br/>
              <w:t>with Fee</w:t>
              <w:br/>
              <w:t>Offset Claimed</w:t>
            </w:r>
          </w:p>
        </w:tc>
        <w:tc>
          <w:tcPr>
            <w:tcW w:w="925" w:type="dxa"/>
            <w:tcBorders>
              <w:top w:val="single" w:sz="4" w:space="0" w:color="000000"/>
              <w:right w:val="single" w:sz="4" w:space="0" w:color="000000"/>
            </w:tcBorders>
            <w:shd w:fill="FFFFFF" w:val="clear"/>
            <w:tcMar>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Security Title</w:t>
              <w:br/>
              <w:t>Associated</w:t>
              <w:br/>
              <w:t>with Fee</w:t>
              <w:br/>
              <w:t>Offset Claimed</w:t>
            </w:r>
          </w:p>
        </w:tc>
        <w:tc>
          <w:tcPr>
            <w:tcW w:w="1064" w:type="dxa"/>
            <w:tcBorders>
              <w:top w:val="single" w:sz="4" w:space="0" w:color="000000"/>
              <w:right w:val="single" w:sz="4" w:space="0" w:color="000000"/>
            </w:tcBorders>
            <w:shd w:fill="FFFFFF" w:val="clear"/>
            <w:tcMar>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Unsold Securities</w:t>
              <w:br/>
              <w:t>Associated with</w:t>
              <w:br/>
              <w:t>Fee Offset</w:t>
              <w:br/>
              <w:t>Claimed</w:t>
            </w:r>
          </w:p>
        </w:tc>
        <w:tc>
          <w:tcPr>
            <w:tcW w:w="1115" w:type="dxa"/>
            <w:tcBorders>
              <w:top w:val="single" w:sz="4" w:space="0" w:color="000000"/>
              <w:right w:val="single" w:sz="4" w:space="0" w:color="000000"/>
            </w:tcBorders>
            <w:shd w:fill="FFFFFF" w:val="clear"/>
            <w:tcMar>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Unsold Aggregate</w:t>
              <w:br/>
              <w:t>Offering Amount</w:t>
              <w:br/>
              <w:t>Associated with</w:t>
              <w:br/>
              <w:t>Fee Offset Claimed</w:t>
            </w:r>
          </w:p>
        </w:tc>
        <w:tc>
          <w:tcPr>
            <w:tcW w:w="864" w:type="dxa"/>
            <w:tcBorders>
              <w:top w:val="single" w:sz="4" w:space="0" w:color="000000"/>
              <w:right w:val="single" w:sz="4" w:space="0" w:color="000000"/>
            </w:tcBorders>
            <w:shd w:fill="FFFFFF" w:val="clear"/>
            <w:tcMar>
              <w:left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Fee Paid with</w:t>
              <w:br/>
              <w:t>Fee Offset</w:t>
              <w:br/>
              <w:t>Source</w:t>
            </w:r>
          </w:p>
        </w:tc>
      </w:tr>
      <w:tr>
        <w:trPr/>
        <w:tc>
          <w:tcPr>
            <w:tcW w:w="672"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3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3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7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9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0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6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2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2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6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11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6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10205" w:type="dxa"/>
            <w:gridSpan w:val="13"/>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Rule 457(b) and 0-11(a)(2)</w:t>
            </w:r>
          </w:p>
        </w:tc>
      </w:tr>
      <w:tr>
        <w:trPr/>
        <w:tc>
          <w:tcPr>
            <w:tcW w:w="672"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672"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Fee Offset</w:t>
              <w:br/>
              <w:t>Claims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32"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3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70"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9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6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92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92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06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11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6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672"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3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3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7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9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0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6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2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2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6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11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6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672"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Fee Offset</w:t>
              <w:br/>
              <w:t>Sources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32"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3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70"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9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6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92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92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06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11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6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672"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3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3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7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9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0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6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2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2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6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11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6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10205" w:type="dxa"/>
            <w:gridSpan w:val="13"/>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Rule 457(p)</w:t>
            </w:r>
          </w:p>
        </w:tc>
      </w:tr>
      <w:tr>
        <w:trPr/>
        <w:tc>
          <w:tcPr>
            <w:tcW w:w="672"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672"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Fee Offset</w:t>
              <w:br/>
              <w:t>Claims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32"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3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70"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9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6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92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92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06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11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6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672"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3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3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7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9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0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6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2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2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6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11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6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672"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Fee Offset</w:t>
              <w:br/>
              <w:t>Sources</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32"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3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70"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9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6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92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92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06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115"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6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672"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3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3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7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9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0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6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2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2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6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11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6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bl>
    <w:p>
      <w:pPr>
        <w:pStyle w:val="TextBody"/>
        <w:bidi w:val="0"/>
        <w:jc w:val="left"/>
        <w:rPr/>
      </w:pPr>
      <w:r>
        <w:rPr/>
        <w:t> </w:t>
      </w:r>
    </w:p>
    <w:tbl>
      <w:tblPr>
        <w:tblW w:w="5957" w:type="dxa"/>
        <w:jc w:val="left"/>
        <w:tblInd w:w="0" w:type="dxa"/>
        <w:tblLayout w:type="fixed"/>
        <w:tblCellMar>
          <w:top w:w="28" w:type="dxa"/>
          <w:left w:w="28" w:type="dxa"/>
          <w:bottom w:w="28" w:type="dxa"/>
          <w:right w:w="28" w:type="dxa"/>
        </w:tblCellMar>
      </w:tblPr>
      <w:tblGrid>
        <w:gridCol w:w="3916"/>
        <w:gridCol w:w="2041"/>
      </w:tblGrid>
      <w:tr>
        <w:trPr/>
        <w:tc>
          <w:tcPr>
            <w:tcW w:w="39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391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4"/>
              </w:rPr>
            </w:pPr>
            <w:r>
              <w:rPr>
                <w:rFonts w:ascii="Arial" w:hAnsi="Arial"/>
                <w:b/>
                <w:color w:val="000000"/>
                <w:sz w:val="24"/>
              </w:rPr>
              <w:t>Table 3: Combined Prospectuses</w:t>
            </w:r>
          </w:p>
        </w:tc>
        <w:tc>
          <w:tcPr>
            <w:tcW w:w="2041" w:type="dxa"/>
            <w:tcBorders/>
            <w:tcMar>
              <w:top w:w="0" w:type="dxa"/>
              <w:left w:w="0" w:type="dxa"/>
              <w:bottom w:w="0" w:type="dxa"/>
              <w:right w:w="0" w:type="dxa"/>
            </w:tcMar>
            <w:vAlign w:val="center"/>
          </w:tcPr>
          <w:p>
            <w:pPr>
              <w:pStyle w:val="TableContents"/>
              <w:bidi w:val="0"/>
              <w:spacing w:before="0" w:after="283"/>
              <w:jc w:val="right"/>
              <w:rPr/>
            </w:pPr>
            <w:r>
              <w:rPr>
                <w:color w:val="000000"/>
              </w:rPr>
              <w:t>☑</w:t>
            </w:r>
            <w:r>
              <w:rPr>
                <w:rFonts w:ascii="Arial" w:hAnsi="Arial"/>
                <w:b/>
                <w:color w:val="000000"/>
                <w:sz w:val="24"/>
              </w:rPr>
              <w:t>Not Applicable</w:t>
            </w:r>
          </w:p>
        </w:tc>
      </w:tr>
    </w:tbl>
    <w:p>
      <w:pPr>
        <w:pStyle w:val="TextBody"/>
        <w:bidi w:val="0"/>
        <w:jc w:val="left"/>
        <w:rPr/>
      </w:pPr>
      <w:r>
        <w:rPr/>
        <w:t> </w:t>
      </w:r>
    </w:p>
    <w:tbl>
      <w:tblPr>
        <w:tblW w:w="9664" w:type="dxa"/>
        <w:jc w:val="left"/>
        <w:tblInd w:w="0" w:type="dxa"/>
        <w:tblLayout w:type="fixed"/>
        <w:tblCellMar>
          <w:top w:w="28" w:type="dxa"/>
          <w:left w:w="28" w:type="dxa"/>
          <w:bottom w:w="28" w:type="dxa"/>
          <w:right w:w="28" w:type="dxa"/>
        </w:tblCellMar>
      </w:tblPr>
      <w:tblGrid>
        <w:gridCol w:w="161"/>
        <w:gridCol w:w="676"/>
        <w:gridCol w:w="811"/>
        <w:gridCol w:w="1486"/>
        <w:gridCol w:w="1606"/>
        <w:gridCol w:w="2626"/>
        <w:gridCol w:w="481"/>
        <w:gridCol w:w="676"/>
        <w:gridCol w:w="1141"/>
      </w:tblGrid>
      <w:tr>
        <w:trPr/>
        <w:tc>
          <w:tcPr>
            <w:tcW w:w="16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center"/>
              <w:rPr/>
            </w:pPr>
            <w:r>
              <w:rPr/>
              <w:t> </w:t>
            </w:r>
          </w:p>
        </w:tc>
        <w:tc>
          <w:tcPr>
            <w:tcW w:w="67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Security</w:t>
              <w:br/>
              <w:t>Type</w:t>
            </w:r>
          </w:p>
        </w:tc>
        <w:tc>
          <w:tcPr>
            <w:tcW w:w="81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Security</w:t>
              <w:br/>
              <w:t>Class Title</w:t>
            </w:r>
          </w:p>
        </w:tc>
        <w:tc>
          <w:tcPr>
            <w:tcW w:w="148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Fee Calculation or</w:t>
              <w:br/>
              <w:t>Carry Forward Rule</w:t>
            </w:r>
          </w:p>
        </w:tc>
        <w:tc>
          <w:tcPr>
            <w:tcW w:w="160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Amount of Securities</w:t>
              <w:br/>
              <w:t>Previously Registered</w:t>
            </w:r>
          </w:p>
        </w:tc>
        <w:tc>
          <w:tcPr>
            <w:tcW w:w="262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Maximum Aggregate Offering Price</w:t>
              <w:br/>
              <w:t>of Securities Previously Registered</w:t>
            </w:r>
          </w:p>
        </w:tc>
        <w:tc>
          <w:tcPr>
            <w:tcW w:w="48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Form</w:t>
              <w:br/>
              <w:t>Type</w:t>
            </w:r>
          </w:p>
        </w:tc>
        <w:tc>
          <w:tcPr>
            <w:tcW w:w="67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File</w:t>
              <w:br/>
              <w:t>Number</w:t>
            </w:r>
          </w:p>
        </w:tc>
        <w:tc>
          <w:tcPr>
            <w:tcW w:w="114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Initial</w:t>
              <w:br/>
              <w:t>Effective Date</w:t>
            </w:r>
          </w:p>
        </w:tc>
      </w:tr>
      <w:tr>
        <w:trPr/>
        <w:tc>
          <w:tcPr>
            <w:tcW w:w="16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pPr>
            <w:r>
              <w:rPr/>
              <w:t> </w:t>
            </w:r>
          </w:p>
        </w:tc>
        <w:tc>
          <w:tcPr>
            <w:tcW w:w="6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81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8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60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6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4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6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1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ix?doc=/Archives/edgar/data/1794546/000119312526071551/carl-20251231.htm" TargetMode="External"/><Relationship Id="rId4" Type="http://schemas.openxmlformats.org/officeDocument/2006/relationships/hyperlink" Target="https://www.sec.gov/ix?doc=/Archives/edgar/data/1794546/000179454626000005/carl-20260420.htm" TargetMode="External"/><Relationship Id="rId5" Type="http://schemas.openxmlformats.org/officeDocument/2006/relationships/hyperlink" Target="https://www.sec.gov/ix?doc=/Archives/edgar/data/1794546/000179454626000011/carl-20260331.htm" TargetMode="External"/><Relationship Id="rId6" Type="http://schemas.openxmlformats.org/officeDocument/2006/relationships/hyperlink" Target="https://www.sec.gov/Archives/edgar/data/1794546/000179454626000016/carl-20260630.htm" TargetMode="External"/><Relationship Id="rId7" Type="http://schemas.openxmlformats.org/officeDocument/2006/relationships/hyperlink" Target="https://www.sec.gov/Archives/edgar/data/1794546/000119312526255404/carl-20260603.htm" TargetMode="External"/><Relationship Id="rId8" Type="http://schemas.openxmlformats.org/officeDocument/2006/relationships/hyperlink" Target="https://www.sec.gov/Archives/edgar/data/1794546/000119312526071551/carl-ex4_5.htm" TargetMode="External"/><Relationship Id="rId9" Type="http://schemas.openxmlformats.org/officeDocument/2006/relationships/hyperlink" Target="https://www.sec.gov/Archives/edgar/data/1794546/000095017025098327/carl-ex3_1.htm" TargetMode="External"/><Relationship Id="rId10" Type="http://schemas.openxmlformats.org/officeDocument/2006/relationships/hyperlink" Target="https://www.sec.gov/Archives/edgar/data/1794546/000095017025098327/carl-ex3_2.htm" TargetMode="External"/><Relationship Id="rId11" Type="http://schemas.openxmlformats.org/officeDocument/2006/relationships/hyperlink" Target="https://www.sec.gov/Archives/edgar/data/1794546/000119312526071551/carl-ex4_5.htm" TargetMode="External"/><Relationship Id="rId12" Type="http://schemas.openxmlformats.org/officeDocument/2006/relationships/hyperlink" Target="https://www.sec.gov/Archives/edgar/data/1794546/000095012325006117/carl-ex4_1.htm" TargetMode="External"/><Relationship Id="rId13" Type="http://schemas.openxmlformats.org/officeDocument/2006/relationships/hyperlink" Target="https://www.sec.gov/Archives/edgar/data/1794546/000095012325006117/carl-ex4_5.htm" TargetMode="External"/><Relationship Id="rId14" Type="http://schemas.openxmlformats.org/officeDocument/2006/relationships/hyperlink" Target="https://www.sec.gov/Archives/edgar/data/1794546/000095012325006117/carl-ex4_5.htm" TargetMode="External"/><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45050</Words>
  <Characters>232725</Characters>
  <CharactersWithSpaces>277104</CharactersWithSpaces>
  <Paragraphs>3090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