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Carlsmed,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001-42756</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83-1081863</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1800 Aston Ave, Suite 100</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Carlsbad, California</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92008</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(760) 766-1923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739775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980" w:hanging="463"/>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980" w:hanging="463"/>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980" w:hanging="463"/>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980" w:hanging="463"/>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$0.00001 par value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CARL</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887095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Carlsmed, Inc. (the “Company”) held its 2026 Annual Meeting of Stockholders (the “Annual Meeting”) on June 3, 2026. At the Annual Meeting, the Company’s stockholders voted on two proposals, each of which is described in more detail in the Company’s definitive proxy statement on Schedule 14A filed with the U.S. Securities and Exchange Commission on April 22, 2026. The vote totals noted below are final voting results from the Annual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1</w:t>
      </w:r>
    </w:p>
    <w:p>
      <w:pPr>
        <w:spacing w:after="0" w:line="229" w:lineRule="exact"/>
        <w:rPr>
          <w:sz w:val="20"/>
          <w:szCs w:val="20"/>
          <w:color w:val="auto"/>
        </w:rPr>
      </w:pPr>
    </w:p>
    <w:p>
      <w:pPr>
        <w:ind w:right="420" w:firstLine="749"/>
        <w:spacing w:after="0" w:line="282" w:lineRule="auto"/>
        <w:rPr>
          <w:sz w:val="20"/>
          <w:szCs w:val="20"/>
          <w:color w:val="auto"/>
        </w:rPr>
      </w:pPr>
      <w:r>
        <w:rPr>
          <w:rFonts w:ascii="Times New Roman" w:cs="Times New Roman" w:eastAsia="Times New Roman" w:hAnsi="Times New Roman"/>
          <w:sz w:val="18"/>
          <w:szCs w:val="18"/>
          <w:color w:val="auto"/>
        </w:rPr>
        <w:t>The Company’s stockholders elected the following two Class I directors to serve on the Company’s board of directors until the 2029 annual meeting of stockholders, or until their successors are duly elected and qualified.</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spacing w:after="0"/>
              <w:rPr>
                <w:sz w:val="16"/>
                <w:szCs w:val="16"/>
                <w:color w:val="auto"/>
              </w:rPr>
            </w:pPr>
          </w:p>
        </w:tc>
        <w:tc>
          <w:tcPr>
            <w:tcW w:w="2340" w:type="dxa"/>
            <w:vAlign w:val="bottom"/>
            <w:tcBorders>
              <w:bottom w:val="single" w:sz="8" w:color="auto"/>
            </w:tcBorders>
          </w:tcPr>
          <w:p>
            <w:pPr>
              <w:jc w:val="right"/>
              <w:ind w:right="808"/>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20" w:type="dxa"/>
            <w:vAlign w:val="bottom"/>
            <w:tcBorders>
              <w:bottom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Votes Withheld</w:t>
            </w:r>
          </w:p>
        </w:tc>
        <w:tc>
          <w:tcPr>
            <w:tcW w:w="300" w:type="dxa"/>
            <w:vAlign w:val="bottom"/>
          </w:tcPr>
          <w:p>
            <w:pPr>
              <w:spacing w:after="0"/>
              <w:rPr>
                <w:sz w:val="16"/>
                <w:szCs w:val="16"/>
                <w:color w:val="auto"/>
              </w:rPr>
            </w:pPr>
          </w:p>
        </w:tc>
        <w:tc>
          <w:tcPr>
            <w:tcW w:w="232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Broker Non-Votes</w:t>
            </w:r>
          </w:p>
        </w:tc>
        <w:tc>
          <w:tcPr>
            <w:tcW w:w="100" w:type="dxa"/>
            <w:vAlign w:val="bottom"/>
          </w:tcPr>
          <w:p>
            <w:pPr>
              <w:spacing w:after="0"/>
              <w:rPr>
                <w:sz w:val="16"/>
                <w:szCs w:val="16"/>
                <w:color w:val="auto"/>
              </w:rPr>
            </w:pPr>
          </w:p>
        </w:tc>
      </w:tr>
      <w:tr>
        <w:trPr>
          <w:trHeight w:val="135"/>
        </w:trPr>
        <w:tc>
          <w:tcPr>
            <w:tcW w:w="3340" w:type="dxa"/>
            <w:vAlign w:val="bottom"/>
            <w:tcBorders>
              <w:top w:val="single" w:sz="8" w:color="CFF0FC"/>
            </w:tcBorders>
            <w:shd w:val="clear" w:color="auto" w:fill="CFF0FC"/>
          </w:tcPr>
          <w:p>
            <w:pPr>
              <w:jc w:val="center"/>
              <w:spacing w:after="0" w:line="136" w:lineRule="exact"/>
              <w:rPr>
                <w:sz w:val="20"/>
                <w:szCs w:val="20"/>
                <w:color w:val="auto"/>
              </w:rPr>
            </w:pPr>
            <w:r>
              <w:rPr>
                <w:rFonts w:ascii="Times New Roman" w:cs="Times New Roman" w:eastAsia="Times New Roman" w:hAnsi="Times New Roman"/>
                <w:sz w:val="14"/>
                <w:szCs w:val="14"/>
                <w:color w:val="auto"/>
              </w:rPr>
              <w:t>Niall Casey</w:t>
            </w:r>
          </w:p>
        </w:tc>
        <w:tc>
          <w:tcPr>
            <w:tcW w:w="2560" w:type="dxa"/>
            <w:vAlign w:val="bottom"/>
            <w:tcBorders>
              <w:top w:val="single" w:sz="8" w:color="CFF0FC"/>
            </w:tcBorders>
            <w:gridSpan w:val="2"/>
            <w:shd w:val="clear" w:color="auto" w:fill="CFF0FC"/>
          </w:tcPr>
          <w:p>
            <w:pPr>
              <w:jc w:val="right"/>
              <w:ind w:right="728"/>
              <w:spacing w:after="0" w:line="136" w:lineRule="exact"/>
              <w:rPr>
                <w:sz w:val="20"/>
                <w:szCs w:val="20"/>
                <w:color w:val="auto"/>
              </w:rPr>
            </w:pPr>
            <w:r>
              <w:rPr>
                <w:rFonts w:ascii="Times New Roman" w:cs="Times New Roman" w:eastAsia="Times New Roman" w:hAnsi="Times New Roman"/>
                <w:sz w:val="14"/>
                <w:szCs w:val="14"/>
                <w:color w:val="auto"/>
              </w:rPr>
              <w:t>19,627,716</w:t>
            </w:r>
          </w:p>
        </w:tc>
        <w:tc>
          <w:tcPr>
            <w:tcW w:w="100" w:type="dxa"/>
            <w:vAlign w:val="bottom"/>
            <w:tcBorders>
              <w:top w:val="single" w:sz="8" w:color="CFF0FC"/>
            </w:tcBorders>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spacing w:after="0"/>
              <w:rPr>
                <w:sz w:val="11"/>
                <w:szCs w:val="11"/>
                <w:color w:val="auto"/>
              </w:rPr>
            </w:pPr>
          </w:p>
        </w:tc>
        <w:tc>
          <w:tcPr>
            <w:tcW w:w="2320" w:type="dxa"/>
            <w:vAlign w:val="bottom"/>
            <w:tcBorders>
              <w:top w:val="single" w:sz="8" w:color="CFF0FC"/>
            </w:tcBorders>
            <w:shd w:val="clear" w:color="auto" w:fill="CFF0FC"/>
          </w:tcPr>
          <w:p>
            <w:pPr>
              <w:jc w:val="right"/>
              <w:ind w:right="748"/>
              <w:spacing w:after="0" w:line="136" w:lineRule="exact"/>
              <w:rPr>
                <w:sz w:val="20"/>
                <w:szCs w:val="20"/>
                <w:color w:val="auto"/>
              </w:rPr>
            </w:pPr>
            <w:r>
              <w:rPr>
                <w:rFonts w:ascii="Times New Roman" w:cs="Times New Roman" w:eastAsia="Times New Roman" w:hAnsi="Times New Roman"/>
                <w:sz w:val="14"/>
                <w:szCs w:val="14"/>
                <w:color w:val="auto"/>
              </w:rPr>
              <w:t>1,352,117</w:t>
            </w:r>
          </w:p>
        </w:tc>
        <w:tc>
          <w:tcPr>
            <w:tcW w:w="2620" w:type="dxa"/>
            <w:vAlign w:val="bottom"/>
            <w:tcBorders>
              <w:top w:val="single" w:sz="8" w:color="CFF0FC"/>
            </w:tcBorders>
            <w:gridSpan w:val="2"/>
            <w:shd w:val="clear" w:color="auto" w:fill="CFF0FC"/>
          </w:tcPr>
          <w:p>
            <w:pPr>
              <w:jc w:val="right"/>
              <w:ind w:right="748"/>
              <w:spacing w:after="0" w:line="136" w:lineRule="exact"/>
              <w:rPr>
                <w:sz w:val="20"/>
                <w:szCs w:val="20"/>
                <w:color w:val="auto"/>
              </w:rPr>
            </w:pPr>
            <w:r>
              <w:rPr>
                <w:rFonts w:ascii="Times New Roman" w:cs="Times New Roman" w:eastAsia="Times New Roman" w:hAnsi="Times New Roman"/>
                <w:sz w:val="14"/>
                <w:szCs w:val="14"/>
                <w:color w:val="auto"/>
              </w:rPr>
              <w:t>4,628,080</w:t>
            </w:r>
          </w:p>
        </w:tc>
        <w:tc>
          <w:tcPr>
            <w:tcW w:w="100" w:type="dxa"/>
            <w:vAlign w:val="bottom"/>
            <w:tcBorders>
              <w:top w:val="single" w:sz="8" w:color="CFF0FC"/>
            </w:tcBorders>
            <w:shd w:val="clear" w:color="auto" w:fill="CFF0FC"/>
          </w:tcPr>
          <w:p>
            <w:pPr>
              <w:spacing w:after="0"/>
              <w:rPr>
                <w:sz w:val="11"/>
                <w:szCs w:val="11"/>
                <w:color w:val="auto"/>
              </w:rPr>
            </w:pPr>
          </w:p>
        </w:tc>
      </w:tr>
      <w:tr>
        <w:trPr>
          <w:trHeight w:val="188"/>
        </w:trPr>
        <w:tc>
          <w:tcPr>
            <w:tcW w:w="3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Philip Young</w:t>
            </w:r>
          </w:p>
        </w:tc>
        <w:tc>
          <w:tcPr>
            <w:tcW w:w="2560" w:type="dxa"/>
            <w:vAlign w:val="bottom"/>
            <w:gridSpan w:val="2"/>
          </w:tcPr>
          <w:p>
            <w:pPr>
              <w:jc w:val="right"/>
              <w:ind w:right="728"/>
              <w:spacing w:after="0"/>
              <w:rPr>
                <w:sz w:val="20"/>
                <w:szCs w:val="20"/>
                <w:color w:val="auto"/>
              </w:rPr>
            </w:pPr>
            <w:r>
              <w:rPr>
                <w:rFonts w:ascii="Times New Roman" w:cs="Times New Roman" w:eastAsia="Times New Roman" w:hAnsi="Times New Roman"/>
                <w:sz w:val="14"/>
                <w:szCs w:val="14"/>
                <w:color w:val="auto"/>
              </w:rPr>
              <w:t>19,510,686</w:t>
            </w:r>
          </w:p>
        </w:tc>
        <w:tc>
          <w:tcPr>
            <w:tcW w:w="2620" w:type="dxa"/>
            <w:vAlign w:val="bottom"/>
            <w:gridSpan w:val="3"/>
          </w:tcPr>
          <w:p>
            <w:pPr>
              <w:jc w:val="right"/>
              <w:ind w:right="748"/>
              <w:spacing w:after="0"/>
              <w:rPr>
                <w:sz w:val="20"/>
                <w:szCs w:val="20"/>
                <w:color w:val="auto"/>
              </w:rPr>
            </w:pPr>
            <w:r>
              <w:rPr>
                <w:rFonts w:ascii="Times New Roman" w:cs="Times New Roman" w:eastAsia="Times New Roman" w:hAnsi="Times New Roman"/>
                <w:sz w:val="14"/>
                <w:szCs w:val="14"/>
                <w:color w:val="auto"/>
              </w:rPr>
              <w:t>1,469,147</w:t>
            </w:r>
          </w:p>
        </w:tc>
        <w:tc>
          <w:tcPr>
            <w:tcW w:w="2620" w:type="dxa"/>
            <w:vAlign w:val="bottom"/>
            <w:gridSpan w:val="2"/>
          </w:tcPr>
          <w:p>
            <w:pPr>
              <w:jc w:val="right"/>
              <w:ind w:right="748"/>
              <w:spacing w:after="0"/>
              <w:rPr>
                <w:sz w:val="20"/>
                <w:szCs w:val="20"/>
                <w:color w:val="auto"/>
              </w:rPr>
            </w:pPr>
            <w:r>
              <w:rPr>
                <w:rFonts w:ascii="Times New Roman" w:cs="Times New Roman" w:eastAsia="Times New Roman" w:hAnsi="Times New Roman"/>
                <w:sz w:val="14"/>
                <w:szCs w:val="14"/>
                <w:color w:val="auto"/>
              </w:rPr>
              <w:t>4,628,080</w:t>
            </w:r>
          </w:p>
        </w:tc>
        <w:tc>
          <w:tcPr>
            <w:tcW w:w="10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-221615</wp:posOffset>
            </wp:positionV>
            <wp:extent cx="1289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2</w:t>
      </w:r>
    </w:p>
    <w:p>
      <w:pPr>
        <w:spacing w:after="0" w:line="229"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The Company’s stockholders ratified the appointment of Ernst &amp; Young LLP as the Company’s independent registered public accounting firm for the fiscal year ending December 31, 2026.</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280" w:type="dxa"/>
            <w:vAlign w:val="bottom"/>
            <w:tcBorders>
              <w:bottom w:val="single" w:sz="8" w:color="auto"/>
            </w:tcBorders>
          </w:tcPr>
          <w:p>
            <w:pPr>
              <w:jc w:val="right"/>
              <w:ind w:right="1768"/>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0" w:type="dxa"/>
            <w:vAlign w:val="bottom"/>
            <w:tcBorders>
              <w:bottom w:val="single" w:sz="8" w:color="auto"/>
            </w:tcBorders>
          </w:tcPr>
          <w:p>
            <w:pPr>
              <w:jc w:val="right"/>
              <w:ind w:right="1008"/>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400" w:type="dxa"/>
            <w:vAlign w:val="bottom"/>
          </w:tcPr>
          <w:p>
            <w:pPr>
              <w:spacing w:after="0"/>
              <w:rPr>
                <w:sz w:val="16"/>
                <w:szCs w:val="16"/>
                <w:color w:val="auto"/>
              </w:rPr>
            </w:pPr>
          </w:p>
        </w:tc>
        <w:tc>
          <w:tcPr>
            <w:tcW w:w="3000" w:type="dxa"/>
            <w:vAlign w:val="bottom"/>
            <w:tcBorders>
              <w:bottom w:val="single" w:sz="8" w:color="auto"/>
            </w:tcBorders>
          </w:tcPr>
          <w:p>
            <w:pPr>
              <w:jc w:val="right"/>
              <w:ind w:right="1068"/>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100" w:type="dxa"/>
            <w:vAlign w:val="bottom"/>
          </w:tcPr>
          <w:p>
            <w:pPr>
              <w:spacing w:after="0"/>
              <w:rPr>
                <w:sz w:val="16"/>
                <w:szCs w:val="16"/>
                <w:color w:val="auto"/>
              </w:rPr>
            </w:pPr>
          </w:p>
        </w:tc>
      </w:tr>
      <w:tr>
        <w:trPr>
          <w:trHeight w:val="136"/>
        </w:trPr>
        <w:tc>
          <w:tcPr>
            <w:tcW w:w="4280" w:type="dxa"/>
            <w:vAlign w:val="bottom"/>
            <w:tcBorders>
              <w:top w:val="single" w:sz="8" w:color="CFF0FC"/>
            </w:tcBorders>
            <w:shd w:val="clear" w:color="auto" w:fill="CFF0FC"/>
          </w:tcPr>
          <w:p>
            <w:pPr>
              <w:jc w:val="right"/>
              <w:ind w:right="1688"/>
              <w:spacing w:after="0" w:line="136" w:lineRule="exact"/>
              <w:rPr>
                <w:sz w:val="20"/>
                <w:szCs w:val="20"/>
                <w:color w:val="auto"/>
              </w:rPr>
            </w:pPr>
            <w:r>
              <w:rPr>
                <w:rFonts w:ascii="Times New Roman" w:cs="Times New Roman" w:eastAsia="Times New Roman" w:hAnsi="Times New Roman"/>
                <w:sz w:val="14"/>
                <w:szCs w:val="14"/>
                <w:color w:val="auto"/>
              </w:rPr>
              <w:t>25,571,065</w:t>
            </w:r>
          </w:p>
        </w:tc>
        <w:tc>
          <w:tcPr>
            <w:tcW w:w="120" w:type="dxa"/>
            <w:vAlign w:val="bottom"/>
            <w:tcBorders>
              <w:top w:val="single" w:sz="8" w:color="CFF0FC"/>
            </w:tcBorders>
            <w:shd w:val="clear" w:color="auto" w:fill="CFF0FC"/>
          </w:tcPr>
          <w:p>
            <w:pPr>
              <w:spacing w:after="0"/>
              <w:rPr>
                <w:sz w:val="11"/>
                <w:szCs w:val="11"/>
                <w:color w:val="auto"/>
              </w:rPr>
            </w:pPr>
          </w:p>
        </w:tc>
        <w:tc>
          <w:tcPr>
            <w:tcW w:w="340" w:type="dxa"/>
            <w:vAlign w:val="bottom"/>
            <w:tcBorders>
              <w:top w:val="single" w:sz="8" w:color="auto"/>
            </w:tcBorders>
            <w:shd w:val="clear" w:color="auto" w:fill="CFF0FC"/>
          </w:tcPr>
          <w:p>
            <w:pPr>
              <w:spacing w:after="0"/>
              <w:rPr>
                <w:sz w:val="11"/>
                <w:szCs w:val="11"/>
                <w:color w:val="auto"/>
              </w:rPr>
            </w:pPr>
          </w:p>
        </w:tc>
        <w:tc>
          <w:tcPr>
            <w:tcW w:w="3000" w:type="dxa"/>
            <w:vAlign w:val="bottom"/>
            <w:tcBorders>
              <w:top w:val="single" w:sz="8" w:color="CFF0FC"/>
            </w:tcBorders>
            <w:shd w:val="clear" w:color="auto" w:fill="CFF0FC"/>
          </w:tcPr>
          <w:p>
            <w:pPr>
              <w:jc w:val="right"/>
              <w:ind w:right="1208"/>
              <w:spacing w:after="0" w:line="136" w:lineRule="exact"/>
              <w:rPr>
                <w:sz w:val="20"/>
                <w:szCs w:val="20"/>
                <w:color w:val="auto"/>
              </w:rPr>
            </w:pPr>
            <w:r>
              <w:rPr>
                <w:rFonts w:ascii="Times New Roman" w:cs="Times New Roman" w:eastAsia="Times New Roman" w:hAnsi="Times New Roman"/>
                <w:sz w:val="14"/>
                <w:szCs w:val="14"/>
                <w:color w:val="auto"/>
              </w:rPr>
              <w:t>5,858</w:t>
            </w:r>
          </w:p>
        </w:tc>
        <w:tc>
          <w:tcPr>
            <w:tcW w:w="3400" w:type="dxa"/>
            <w:vAlign w:val="bottom"/>
            <w:tcBorders>
              <w:top w:val="single" w:sz="8" w:color="CFF0FC"/>
            </w:tcBorders>
            <w:gridSpan w:val="2"/>
            <w:shd w:val="clear" w:color="auto" w:fill="CFF0FC"/>
          </w:tcPr>
          <w:p>
            <w:pPr>
              <w:jc w:val="right"/>
              <w:ind w:right="1188"/>
              <w:spacing w:after="0" w:line="136" w:lineRule="exact"/>
              <w:rPr>
                <w:sz w:val="20"/>
                <w:szCs w:val="20"/>
                <w:color w:val="auto"/>
              </w:rPr>
            </w:pPr>
            <w:r>
              <w:rPr>
                <w:rFonts w:ascii="Times New Roman" w:cs="Times New Roman" w:eastAsia="Times New Roman" w:hAnsi="Times New Roman"/>
                <w:sz w:val="14"/>
                <w:szCs w:val="14"/>
                <w:color w:val="auto"/>
              </w:rPr>
              <w:t>30,990</w:t>
            </w:r>
          </w:p>
        </w:tc>
        <w:tc>
          <w:tcPr>
            <w:tcW w:w="100" w:type="dxa"/>
            <w:vAlign w:val="bottom"/>
            <w:tcBorders>
              <w:top w:val="single" w:sz="8" w:color="CFF0FC"/>
            </w:tcBorders>
            <w:shd w:val="clear" w:color="auto" w:fill="CFF0FC"/>
          </w:tcPr>
          <w:p>
            <w:pPr>
              <w:spacing w:after="0"/>
              <w:rPr>
                <w:sz w:val="11"/>
                <w:szCs w:val="11"/>
                <w:color w:val="auto"/>
              </w:rPr>
            </w:pPr>
          </w:p>
        </w:tc>
      </w:tr>
      <w:tr>
        <w:trPr>
          <w:trHeight w:val="1195"/>
        </w:trPr>
        <w:tc>
          <w:tcPr>
            <w:tcW w:w="4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0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-873760</wp:posOffset>
            </wp:positionV>
            <wp:extent cx="1797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9705"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1" w:lineRule="exact"/>
        <w:rPr>
          <w:sz w:val="20"/>
          <w:szCs w:val="20"/>
          <w:color w:val="auto"/>
        </w:rPr>
      </w:pPr>
    </w:p>
    <w:p>
      <w:pPr>
        <w:spacing w:after="0"/>
        <w:tabs>
          <w:tab w:leader="none" w:pos="5740" w:val="left"/>
        </w:tabs>
        <w:rPr>
          <w:sz w:val="20"/>
          <w:szCs w:val="20"/>
          <w:color w:val="auto"/>
        </w:rPr>
      </w:pPr>
      <w:r>
        <w:rPr>
          <w:rFonts w:ascii="Times New Roman" w:cs="Times New Roman" w:eastAsia="Times New Roman" w:hAnsi="Times New Roman"/>
          <w:sz w:val="18"/>
          <w:szCs w:val="18"/>
          <w:color w:val="auto"/>
        </w:rPr>
        <w:t>Date: June 3, 2026</w:t>
      </w:r>
      <w:r>
        <w:rPr>
          <w:sz w:val="20"/>
          <w:szCs w:val="20"/>
          <w:color w:val="auto"/>
        </w:rPr>
        <w:tab/>
      </w:r>
      <w:r>
        <w:rPr>
          <w:rFonts w:ascii="Times New Roman" w:cs="Times New Roman" w:eastAsia="Times New Roman" w:hAnsi="Times New Roman"/>
          <w:sz w:val="18"/>
          <w:szCs w:val="18"/>
          <w:b w:val="1"/>
          <w:bCs w:val="1"/>
          <w:color w:val="auto"/>
        </w:rPr>
        <w:t>Carlsmed, Inc.</w:t>
      </w:r>
    </w:p>
    <w:p>
      <w:pPr>
        <w:spacing w:after="0" w:line="229" w:lineRule="exact"/>
        <w:rPr>
          <w:sz w:val="20"/>
          <w:szCs w:val="20"/>
          <w:color w:val="auto"/>
        </w:rPr>
      </w:pPr>
    </w:p>
    <w:p>
      <w:pPr>
        <w:ind w:left="5760"/>
        <w:spacing w:after="0"/>
        <w:tabs>
          <w:tab w:leader="none" w:pos="6220" w:val="left"/>
        </w:tabs>
        <w:rPr>
          <w:sz w:val="20"/>
          <w:szCs w:val="20"/>
          <w:color w:val="auto"/>
        </w:rPr>
      </w:pPr>
      <w:r>
        <w:rPr>
          <w:rFonts w:ascii="Times New Roman" w:cs="Times New Roman" w:eastAsia="Times New Roman" w:hAnsi="Times New Roman"/>
          <w:sz w:val="18"/>
          <w:szCs w:val="18"/>
          <w:color w:val="auto"/>
        </w:rPr>
        <w:t>By:</w:t>
        <w:tab/>
        <w:t>/s/ Michael Cordonnier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17145</wp:posOffset>
            </wp:positionV>
            <wp:extent cx="31718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16"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Michael Cordonnier</w:t>
      </w:r>
    </w:p>
    <w:p>
      <w:pPr>
        <w:spacing w:after="0" w:line="2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2026-06-03T15:07:38Z</dcterms:created>
  <dcterms:modified xsi:type="dcterms:W3CDTF">2026-06-03T15:07:38Z</dcterms:modified>
</cp:coreProperties>
</file>